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1F5" w:rsidRPr="009921F5" w:rsidRDefault="009921F5" w:rsidP="009921F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35906196"/>
      <w:r w:rsidRPr="009921F5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Rozdział VII Sposób wyboru i oceny operacji oraz sposób ustanawiania kryteriów wyboru</w:t>
      </w:r>
      <w:bookmarkEnd w:id="0"/>
      <w:r w:rsidRPr="009921F5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Sposób wyboru i oceny operacji jest kompetencją Rady – ona formalnie zatwierdza procedury</w:t>
      </w:r>
      <w:r w:rsidRPr="009921F5">
        <w:rPr>
          <w:rFonts w:cstheme="minorHAnsi"/>
          <w:kern w:val="0"/>
          <w14:ligatures w14:val="none"/>
        </w:rPr>
        <w:t xml:space="preserve"> </w:t>
      </w:r>
      <w:r w:rsidRPr="009921F5">
        <w:rPr>
          <w:rFonts w:eastAsia="Calibri" w:cstheme="minorHAnsi"/>
          <w:kern w:val="0"/>
          <w14:ligatures w14:val="none"/>
        </w:rPr>
        <w:t>wyboru i oceny operacji w ramach Lokalnej Strategii Rozwoju i regulamin Rady.  Konkretne zapisy w tym przedmiocie zostaną określone w ciągu 60 dni od wyboru strategii. Można przyjąć, że wybór i ocena operacji będzie obejmuje następujące etapy: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tworzenie i konsultacje społeczne kryteriów naboru/regulaminów konkursów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nabór i przyjęcie wniosku lub grantu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ocena wniosku lub grantu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ustalenie kwoty wsparcia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ostateczny wybór operacji do dofinansowania</w:t>
      </w:r>
    </w:p>
    <w:p w:rsidR="009921F5" w:rsidRPr="009921F5" w:rsidRDefault="009921F5" w:rsidP="009921F5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ewentualne protesty.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Przygotowane zostaną procedury/regulaminy naboru i oceny odrębne dla poszczególnych rodzajów operacji (otwarte konkursy, projekt grantowy, operacja własna). Ich treść będzie zamieszczona na stronie internetowej oraz do wglądu w siedzibie LGD. Działania organu decyzyjnego będą regulowane przez kwestie zachowania parytetów sektorowych na każdym etapie oceny. W celu identyfikacji ewentualnych powiazań członków Rady i w celu zapobieżenia konfliktowi interesów z wnioskodawcami/</w:t>
      </w:r>
      <w:proofErr w:type="spellStart"/>
      <w:r w:rsidRPr="009921F5">
        <w:rPr>
          <w:rFonts w:eastAsia="Calibri" w:cstheme="minorHAnsi"/>
          <w:kern w:val="0"/>
          <w14:ligatures w14:val="none"/>
        </w:rPr>
        <w:t>grantobiorcami</w:t>
      </w:r>
      <w:proofErr w:type="spellEnd"/>
      <w:r w:rsidRPr="009921F5">
        <w:rPr>
          <w:rFonts w:eastAsia="Calibri" w:cstheme="minorHAnsi"/>
          <w:kern w:val="0"/>
          <w14:ligatures w14:val="none"/>
        </w:rPr>
        <w:t xml:space="preserve"> będzie prowadzany rejestr interesu członków organu decyzyjnego.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 xml:space="preserve">Zasady wyboru (i ich zmiany) operacji uchwala Rada LGD (zgodnie z umocowaniem w statucie stowarzyszenia). Natomiast inicjatywa zmiany sposobu wyboru i oceny operacji może wyjść od każdego członka LGD na zasadach określonych w statucie (członek zwyczajny ma prawo do składania Zarządowi wniosków dotyczących działalności Stowarzyszenia, w tym wdrażania LSR oraz pogłębiania partnerstwa między członkami LGD).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color w:val="FF0000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 xml:space="preserve">Analogicznie wygląda temat ustanawiania i zmiany kryteriów wyboru. Jest to kompetencja Rady, każdy członek LGD ma prawo do wniesienia wniosku o zmianę w kryteriach. Ustanowieniu kryteriów będzie poświęcone odrębne posiedzenie Rady w formie warsztatu z udziałem pracowników biura. Kryteria powstaną mając na uwadze wymagania poszczególnych funduszy finansujących, zgodności ich z diagnozą, celami i wskaźnikami.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 xml:space="preserve">Zarówno propozycja zmian procedur jak i zmian kryteriów będzie poddana każdorazowo konsultacjom społecznym poprzez zamieszczenie propozycji zmian wraz z formularzem uwag na stronie internetowej LGD. Kryteria oceny będą mierzalne i zrozumiałe. Natomiast  kryteria jakościowe będą doprecyzowane, aby można było jasno ustalić, jak należy je spełnić.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 xml:space="preserve">Procedury dotyczące wyboru, oceny operacji, ustanawiania kryteriów będą zgodne z wytycznymi dla przedsięwzięć finansowanych w ramach EFRROW (dla środków z WPR) i wytycznymi w zakresie przedsięwzięć finansowanych w ramach EFRR i EFS+ (dla środków z FEP).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LGD wzorem poprzednich okresów będzie premiować projekty innowacyjne. Konsultacje społeczne służyły określeniu pojęcia innowacyjności na podstawie definicji wskazanej w projekcie dokumentacji konkursowej oraz na podstawie wyznaczonych celów w LSR. Przyjęta definicja innowacyjności ma odzwierciedlenie w diagnozie oraz analizie SWOT i odnosi się do głównych problemów i potrzeb zidentyfikowanych na etapach budowy LSR. W nawiązaniu do często zgłaszanego problemu niewystarczającego wykorzystania potencjału obszaru LGD postanowiono premiować innowacyjne wykorzystanie lokalnych zasobów.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lastRenderedPageBreak/>
        <w:t xml:space="preserve">Innowacyjność – to </w:t>
      </w:r>
      <w:bookmarkStart w:id="1" w:name="_Hlk135826839"/>
      <w:r w:rsidRPr="009921F5">
        <w:rPr>
          <w:rFonts w:eastAsia="Calibri" w:cstheme="minorHAnsi"/>
          <w:kern w:val="0"/>
          <w14:ligatures w14:val="none"/>
        </w:rPr>
        <w:t xml:space="preserve">wykorzystanie lokalnych zasobów </w:t>
      </w:r>
      <w:bookmarkEnd w:id="1"/>
      <w:r w:rsidRPr="009921F5">
        <w:rPr>
          <w:rFonts w:eastAsia="Calibri" w:cstheme="minorHAnsi"/>
          <w:kern w:val="0"/>
          <w14:ligatures w14:val="none"/>
        </w:rPr>
        <w:t>kulturowych, historycznych, przyrodniczych charakterystycznych dla obszaru LGD w taki sposób, aby prowadziły do nowej usługi i/lub produktu w sferze turystyki i/lub rekreacji.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 xml:space="preserve">Z poprzedniego okresu programowania zachowana zostanie wprost proporcjonalna ocena innowacyjności w zależności od poziomu na jakim występuje (sołectwo, gmina, obszar LGD). </w:t>
      </w:r>
    </w:p>
    <w:p w:rsidR="009921F5" w:rsidRPr="009921F5" w:rsidRDefault="009921F5" w:rsidP="009921F5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Innowacja będzie premiowana w następujących przedsięwzięciach:</w:t>
      </w:r>
    </w:p>
    <w:p w:rsidR="009921F5" w:rsidRPr="009921F5" w:rsidRDefault="009921F5" w:rsidP="009921F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P.1.3. Rozwój gospodarki opartej na lokalnych zasobach</w:t>
      </w:r>
    </w:p>
    <w:p w:rsidR="009921F5" w:rsidRPr="009921F5" w:rsidRDefault="009921F5" w:rsidP="009921F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P.1.4. Inicjatywy lokalne na rzecz kształtowanie świadomości obywatelskiej w zakresie ochrony dziedzictwa kulturowego</w:t>
      </w:r>
    </w:p>
    <w:p w:rsidR="009921F5" w:rsidRPr="009921F5" w:rsidRDefault="009921F5" w:rsidP="009921F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P.1.5. Wzmacnianie infrastruktury turystycznej</w:t>
      </w:r>
    </w:p>
    <w:p w:rsidR="009921F5" w:rsidRPr="009921F5" w:rsidRDefault="009921F5" w:rsidP="009921F5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9921F5">
        <w:rPr>
          <w:rFonts w:eastAsia="Calibri" w:cstheme="minorHAnsi"/>
          <w:kern w:val="0"/>
          <w14:ligatures w14:val="none"/>
        </w:rPr>
        <w:t>P.2.4. Rozwój pozarolniczych funkcji gospodarstw rolnych.</w:t>
      </w:r>
    </w:p>
    <w:p w:rsidR="009921F5" w:rsidRPr="009921F5" w:rsidRDefault="009921F5" w:rsidP="009921F5">
      <w:pPr>
        <w:spacing w:after="0"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W LSR, zgodnie z formułą RLKS, przywiązano duża rolę idei partnerstwa. Współpraca pomiędzy rożnymi podmiotami z i spoza obszaru LGD ma przynieść wymierne korzyści i przyczynić się do rozwoju obszaru. W LSR przewidziano projekty partnerskie i w partnerstwie w dwóch przedsięwzięciach:</w:t>
      </w:r>
    </w:p>
    <w:p w:rsidR="009921F5" w:rsidRPr="009921F5" w:rsidRDefault="009921F5" w:rsidP="009921F5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P.1.4. Inicjatywy lokalne na rzecz kształtowanie świadomości obywatelskiej w zakresie ochrony dziedzictwa kulturowego</w:t>
      </w:r>
    </w:p>
    <w:p w:rsidR="009921F5" w:rsidRPr="009921F5" w:rsidRDefault="009921F5" w:rsidP="009921F5">
      <w:pPr>
        <w:numPr>
          <w:ilvl w:val="0"/>
          <w:numId w:val="3"/>
        </w:numPr>
        <w:contextualSpacing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P.2.2. Rozwój infrastruktury i usług społecznych</w:t>
      </w:r>
    </w:p>
    <w:p w:rsidR="009921F5" w:rsidRPr="009921F5" w:rsidRDefault="009921F5" w:rsidP="009921F5">
      <w:pPr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W tych działaniach współpraca partnerska lub w partnerstwie pomiędzy różnymi podmiotami będzie promowana dodatkowymi punktami w ramach lokalnych kryteriów wyboru. Charakter współpracy będzie mógł mieć szeroki zakres: np. finansowy, organizacyjny, merytoryczny. Pozwoli to na wymianę doświadczeń miedzy różnymi podmiotami pielęgnującymi lokalne tradycje czy działającym w sferze usług społecznych.</w:t>
      </w:r>
    </w:p>
    <w:p w:rsidR="009921F5" w:rsidRPr="009921F5" w:rsidRDefault="009921F5" w:rsidP="009921F5">
      <w:pPr>
        <w:jc w:val="both"/>
        <w:rPr>
          <w:rFonts w:cstheme="minorHAnsi"/>
          <w:color w:val="FF0000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Procedura grantów zostanie zastosowana w przedsięwzięciu P.2.2. Rozwój infrastruktury i usług społecznych (w części dotyczącej usług) oraz </w:t>
      </w:r>
      <w:r w:rsidRPr="009921F5">
        <w:rPr>
          <w:rFonts w:cstheme="minorHAnsi"/>
          <w:color w:val="FF0000"/>
          <w:kern w:val="0"/>
          <w14:ligatures w14:val="none"/>
        </w:rPr>
        <w:t>ewentualnie w P.1.1. Działania zwiększające wykorzystanie Odnawialnych Źródeł Energii.</w:t>
      </w:r>
    </w:p>
    <w:p w:rsidR="009921F5" w:rsidRPr="009921F5" w:rsidRDefault="009921F5" w:rsidP="009921F5">
      <w:pPr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Projekty wskazane w LSR będą wybierane zgodnie z zasadami i warunkami obowiązującymi dla EFS+ i EFRR, a także iż promowane będą projekty wpisujące się w inicjatywę Nowy Europejski </w:t>
      </w:r>
      <w:proofErr w:type="spellStart"/>
      <w:r w:rsidRPr="009921F5">
        <w:rPr>
          <w:rFonts w:cstheme="minorHAnsi"/>
          <w:kern w:val="0"/>
          <w14:ligatures w14:val="none"/>
        </w:rPr>
        <w:t>Bauhaus</w:t>
      </w:r>
      <w:proofErr w:type="spellEnd"/>
      <w:r w:rsidRPr="009921F5">
        <w:rPr>
          <w:rFonts w:cstheme="minorHAnsi"/>
          <w:kern w:val="0"/>
          <w14:ligatures w14:val="none"/>
        </w:rPr>
        <w:t>.</w:t>
      </w:r>
    </w:p>
    <w:p w:rsidR="009921F5" w:rsidRPr="009921F5" w:rsidRDefault="009921F5" w:rsidP="009921F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2" w:name="_Toc135906197"/>
      <w:r w:rsidRPr="009921F5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Rozdział VIII Plan działania</w:t>
      </w:r>
      <w:bookmarkEnd w:id="2"/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Ogłoszenie naborów wniosków w większości przedsięwzięć planowane jest na lata 2024 i 2025. Plan działania zakłada dla większości operacji jednoroczny czas realizacji. W ramach Przedsięwzięcia P.1.1. Działania zwiększające wykorzystanie Odnawialnych Źródeł Energii ogłoszone będą 2 nabory, najpierw w 2024 roku dla osób fizycznych, mieszkańców obszaru LGD a w kolejnym roku dla pozostałych podmiotów. Oba przedsięwzięcia związane z przedsiębiorczością (P.1.3 i P.2.1) będą podzielone na dwie części (pierwsze nabory w drugiej połowie 2024 roku, drugie nabory w pierwszej połowie 2025 roku) – umożliwi to ubieganie się o wsparcie szerokiemu gronu potencjalnych Beneficjentów. Ta sama idea sprzyja podziałowi na kilka naborów w ramach w przedsięwzięciach P.1.4 Przedsięwzięcie P.1.4. Inicjatywy lokalne na rzecz kształtowanie świadomości obywatelskiej w zakresie ochrony dziedzictwa kulturowego i P.2.3 Przedsięwzięcie P.2.3. Rozwój infrastruktury rekreacyjnej, „małej”  infrastruktury publicznej. </w:t>
      </w:r>
      <w:r w:rsidRPr="009921F5">
        <w:rPr>
          <w:rFonts w:cstheme="minorHAnsi"/>
          <w:color w:val="FF0000"/>
          <w:kern w:val="0"/>
          <w14:ligatures w14:val="none"/>
        </w:rPr>
        <w:t xml:space="preserve">Przy czym należy wspomnieć, że jeden projektów w P.1.4 dotyczyć będzie współpracy międzynarodowej. Na 3 etapy chcemy podzielić też nabory w przedsięwzięciu P.2.2. Rozwój infrastruktury i usług społecznych (w latach 2025-2026). Pierwszy nabór będzie dotyczył sfery infrastruktury dla części potencjalnych Beneficjentów, następnie dwa równoległe nabory obejmą infrastrukturę i usługi społeczne. I w końcu, 3 etap obejmie ponownie usługi społeczne. </w:t>
      </w:r>
      <w:r w:rsidRPr="009921F5">
        <w:rPr>
          <w:rFonts w:cstheme="minorHAnsi"/>
          <w:kern w:val="0"/>
          <w14:ligatures w14:val="none"/>
        </w:rPr>
        <w:t xml:space="preserve">Takie </w:t>
      </w:r>
      <w:r w:rsidRPr="009921F5">
        <w:rPr>
          <w:rFonts w:cstheme="minorHAnsi"/>
          <w:kern w:val="0"/>
          <w14:ligatures w14:val="none"/>
        </w:rPr>
        <w:lastRenderedPageBreak/>
        <w:t>rozłożenie naborów umożliwi przygotowanie infrastruktury pod świadczenie usług społecznych.  Pozostałe przedsięwzięcia zostaną realizowane w jednych naborach.</w:t>
      </w:r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Zaplanowanie w taki sposób naborów, głównie w dwóch pierwszych latach, przyczyni się do łatwiejszego osiągnięcia kamienia milowego (na dzień 30.06.26 r w ramach PS WPR, na dzień 31.12.2026 r. w ramach FEP).</w:t>
      </w:r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color w:val="FF0000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Szczegóły określające terminy osiągnięcia celów poprzez realizację wskaźników produktu i rezultatu stanowi Tabela Plan działania. </w:t>
      </w:r>
      <w:r w:rsidRPr="009921F5">
        <w:rPr>
          <w:rFonts w:cstheme="minorHAnsi"/>
          <w:color w:val="FF0000"/>
          <w:kern w:val="0"/>
          <w14:ligatures w14:val="none"/>
        </w:rPr>
        <w:t>zał. nr 2 do niniejszej strategii.</w:t>
      </w:r>
    </w:p>
    <w:p w:rsidR="009921F5" w:rsidRPr="009921F5" w:rsidRDefault="009921F5" w:rsidP="009921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14:ligatures w14:val="none"/>
        </w:rPr>
      </w:pPr>
    </w:p>
    <w:p w:rsidR="009921F5" w:rsidRPr="009921F5" w:rsidRDefault="009921F5" w:rsidP="009921F5">
      <w:pPr>
        <w:rPr>
          <w:rFonts w:cstheme="minorHAnsi"/>
          <w:color w:val="FF0000"/>
          <w:kern w:val="0"/>
          <w14:ligatures w14:val="none"/>
        </w:rPr>
      </w:pPr>
    </w:p>
    <w:p w:rsidR="009921F5" w:rsidRPr="009921F5" w:rsidRDefault="009921F5" w:rsidP="009921F5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3" w:name="_Toc135906199"/>
      <w:r w:rsidRPr="009921F5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Rozdział X Monitoring i ewaluacja</w:t>
      </w:r>
      <w:bookmarkEnd w:id="3"/>
    </w:p>
    <w:p w:rsidR="009921F5" w:rsidRPr="009921F5" w:rsidRDefault="009921F5" w:rsidP="009921F5">
      <w:pPr>
        <w:spacing w:after="0"/>
        <w:rPr>
          <w:rFonts w:cstheme="minorHAnsi"/>
          <w:kern w:val="0"/>
          <w14:ligatures w14:val="none"/>
        </w:rPr>
      </w:pPr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Celem monitorowania i ewaluacji będzie bieżąca ocena wdrażania LSR oraz pracy i oddziaływania LGD „Kaszubska Droga” poprzez ocenę wskaźników produktu, rezultatu, zakres planowanych  przedsięwzięć oraz weryfikację założonych w LSR celów.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Elementy podlegające ewaluacji i monitoringowi: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a) Funkcjonowanie LGD - potwierdzające sprawność, efektywność funkcjonowania LGD: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 xml:space="preserve">efektywność pracy biura i organów LGD,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 xml:space="preserve">sposobu przepływu informacji,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 xml:space="preserve">ocena pracowników,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efektywność promocji i aktywizacji lokalnej społeczności, doradztwa,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efektywność współpracy.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b) Wdrażanie LSR weryfikacja realizacji LSR w stosunku do założeń: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zgodność realizacji celów i wskaźników,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 xml:space="preserve">ocena wpływu wybranych operacji na realizację celów,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 xml:space="preserve">wykorzystania budżetu,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jakość stosowanych kryteriów wyboru operacji i procedur,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przebiegu konkursów,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inne zależne od potrzeb wynikających z wdrażania LSR.</w:t>
      </w:r>
    </w:p>
    <w:p w:rsidR="009921F5" w:rsidRPr="009921F5" w:rsidRDefault="009921F5" w:rsidP="009921F5">
      <w:pPr>
        <w:spacing w:after="0" w:line="276" w:lineRule="auto"/>
        <w:jc w:val="both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Monitoring będzie prowadzony na bieżąco, tj. corocznie możliwe będzie sprawdzenie i weryfikacja funkcjonowania LGD.  Na potrzeby monitoringu zostanie powołany zespół ds. monitoringu i ewaluacji, powoływany przez Radę LGD, który we współpracy z biurem LGD przygotowuje Raport z wdrażania Lokalnej Strategii Rozwoju. 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 xml:space="preserve">Ponadto, w sytuacji kiedy monitoring wykaże problemy we wdrażaniu LSR, przewiduje się przeprowadzenie ewaluacji zewnętrznej.  Ewaluację zewnętrzną powinien przeprowadzić niezależny </w:t>
      </w:r>
      <w:proofErr w:type="spellStart"/>
      <w:r w:rsidRPr="009921F5">
        <w:rPr>
          <w:rFonts w:cstheme="minorHAnsi"/>
          <w:kern w:val="0"/>
          <w14:ligatures w14:val="none"/>
        </w:rPr>
        <w:t>ewaluator</w:t>
      </w:r>
      <w:proofErr w:type="spellEnd"/>
      <w:r w:rsidRPr="009921F5">
        <w:rPr>
          <w:rFonts w:cstheme="minorHAnsi"/>
          <w:kern w:val="0"/>
          <w14:ligatures w14:val="none"/>
        </w:rPr>
        <w:t xml:space="preserve"> (zwany dalej Wykonawcą). Dopuszcza się, aby kilka LGD zlecało ewaluację zewnętrzną wspólnie (badanie obejmuje kilka LSR. W ten sposób zagwarantowana zostanie porównywalność wyników różnych LGD w ramach województwa. Wykonawca badania powinien posiadać odpowiednie doświadczenie w realizacji badań ewaluacyjnych. Raport z ewaluacji zostanie udostępniony co najmniej na stronie internetowej LGD.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Planuje się zastosowanie następujących kryteriów ewaluacyjnych: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kryterium skuteczności: na ile rezultaty i wpływ wdrażania LSR przyczyniły się do osiągnięcia jej celów?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kryterium efektywności: w jakim stopniu nakłady były proporcjonalne do produktów, rezultatów i wpływu programu na osiągnięcie jego celów?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kryterium trafności: w jakim stopniu cele LSR odpowiadają potrzebom jego adresatów?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lastRenderedPageBreak/>
        <w:t>•</w:t>
      </w:r>
      <w:r w:rsidRPr="009921F5">
        <w:rPr>
          <w:rFonts w:cstheme="minorHAnsi"/>
          <w:kern w:val="0"/>
          <w14:ligatures w14:val="none"/>
        </w:rPr>
        <w:tab/>
        <w:t>kryterium użyteczności: na ile rezultaty i wpływ LSR zaspokajają potrzeby jego adresatów?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kryterium trwałość: jak długo będą trwać pozytywne skutki wdrażania LSR po zakończeniu programu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Przewiduje się, iż w wyniku monitoringu i ewaluacji mogą zostać podjęte takie działania naprawcze jak: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zmiana harmonogramu ogłaszania konkursów,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zmiana kryteriów oceny operacji i ich wyboru,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zmiana sposobu prowadzenia usług doradczych i szkoleniowych w zakresie wdrażania i rozliczania projektów,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usprawnienie przepływu informacji,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wprowadzenia zmian w dokumentach,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  <w:r w:rsidRPr="009921F5">
        <w:rPr>
          <w:rFonts w:cstheme="minorHAnsi"/>
          <w:kern w:val="0"/>
          <w14:ligatures w14:val="none"/>
        </w:rPr>
        <w:t>•</w:t>
      </w:r>
      <w:r w:rsidRPr="009921F5">
        <w:rPr>
          <w:rFonts w:cstheme="minorHAnsi"/>
          <w:kern w:val="0"/>
          <w14:ligatures w14:val="none"/>
        </w:rPr>
        <w:tab/>
        <w:t>inne.</w:t>
      </w:r>
    </w:p>
    <w:p w:rsidR="009921F5" w:rsidRPr="009921F5" w:rsidRDefault="009921F5" w:rsidP="009921F5">
      <w:pPr>
        <w:spacing w:after="0" w:line="276" w:lineRule="auto"/>
        <w:rPr>
          <w:rFonts w:cstheme="minorHAnsi"/>
          <w:kern w:val="0"/>
          <w14:ligatures w14:val="none"/>
        </w:rPr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1351"/>
        <w:gridCol w:w="1954"/>
        <w:gridCol w:w="1413"/>
        <w:gridCol w:w="2460"/>
      </w:tblGrid>
      <w:tr w:rsidR="009921F5" w:rsidRPr="009921F5" w:rsidTr="006844F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Elementy poddane badaniu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Wykonawca badania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Źródła danych i metody ich zbierania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Czas i okres dokonywania pomiaru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Analiza i ocena danych</w:t>
            </w:r>
          </w:p>
        </w:tc>
      </w:tr>
      <w:tr w:rsidR="009921F5" w:rsidRPr="009921F5" w:rsidTr="006844F3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Monitoring</w:t>
            </w:r>
          </w:p>
        </w:tc>
      </w:tr>
      <w:tr w:rsidR="009921F5" w:rsidRPr="009921F5" w:rsidTr="006844F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Funkcjonowanie Biura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Zarząd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Anonimowe ankiety, opinia dyrektora biura nt. podległego personelu, wywiad z wnioskodawcami, opinia Zarządu, opinia Komisji Rewizyjnej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efektywności pracy pracowników, sposobu przekazywania istotnych informacji potencjalnym beneficjentom, ocena jakości doradztwa.</w:t>
            </w:r>
          </w:p>
        </w:tc>
      </w:tr>
      <w:tr w:rsidR="009921F5" w:rsidRPr="009921F5" w:rsidTr="006844F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Stopień realizacji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 xml:space="preserve">Harmonogramu ogłaszanych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konkursów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Wewnętrzna baza danych konkursów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Zgodność ogłaszanych konkursów z harmonogramem konkursów w całym okresie wdrażania LSR</w:t>
            </w:r>
          </w:p>
        </w:tc>
      </w:tr>
      <w:tr w:rsidR="009921F5" w:rsidRPr="009921F5" w:rsidTr="006844F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Budżet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Rejestr danych.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200" w:line="240" w:lineRule="auto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zgodności i wysokości wydatkowania środków finansowych z przyznanego budżetu na poszczególne zadania/przedsięwzięcia</w:t>
            </w:r>
          </w:p>
        </w:tc>
      </w:tr>
      <w:tr w:rsidR="009921F5" w:rsidRPr="009921F5" w:rsidTr="006844F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Zainteresowanie stroną internetową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Licznik odwiedzin strony internetowej, statystyki/dane od administratora strony internetowej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200" w:line="240" w:lineRule="auto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Skuteczność przepływu informacji, efektywność promocji obszaru LGD</w:t>
            </w:r>
          </w:p>
        </w:tc>
      </w:tr>
      <w:tr w:rsidR="009921F5" w:rsidRPr="009921F5" w:rsidTr="006844F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Stopień realizacji budżetu na operacje dedykowane grupom dewaloryzowanym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Rejestr danych.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200" w:line="240" w:lineRule="auto"/>
              <w:jc w:val="center"/>
              <w:rPr>
                <w:rFonts w:eastAsia="Calibri" w:cstheme="minorHAnsi"/>
                <w:kern w:val="0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zgodności i wysokości wydatkowania środków finansowych z przyznanego budżetu na poszczególne zadania/przedsięwzięcia</w:t>
            </w:r>
          </w:p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9921F5" w:rsidRPr="009921F5" w:rsidTr="006844F3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Stan wdrażanych projektów, skala i rodzaje występujących problemów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Rejestr danych, ankiety, bieżący kontakt z beneficjentami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F5" w:rsidRPr="009921F5" w:rsidRDefault="009921F5" w:rsidP="009921F5">
            <w:pPr>
              <w:spacing w:after="20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Na bieżąco w całym okresie wdrażania LSR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zaawansowania projektów</w:t>
            </w:r>
          </w:p>
        </w:tc>
      </w:tr>
      <w:tr w:rsidR="009921F5" w:rsidRPr="009921F5" w:rsidTr="006844F3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b/>
                <w:kern w:val="0"/>
                <w:lang w:eastAsia="pl-PL"/>
                <w14:ligatures w14:val="none"/>
              </w:rPr>
              <w:t>Ewaluacja</w:t>
            </w:r>
          </w:p>
        </w:tc>
      </w:tr>
      <w:tr w:rsidR="009921F5" w:rsidRPr="009921F5" w:rsidTr="006844F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Stopień  realizacji  celów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 xml:space="preserve">LSR – stopień  realizacji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 xml:space="preserve">wskaźników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Zespół Monitorujący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Analizy własne Zespołu Monitorującego,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 xml:space="preserve">sprawozdania beneficjentów, ankiety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 xml:space="preserve">beneficjentów, rejestr prowadzony przez 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pracowników Biura LGD, wizja lokalna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roczna wykonywana w pierwszym kwartale roku kolejnego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Stopień realizacji wskaźników</w:t>
            </w:r>
          </w:p>
        </w:tc>
      </w:tr>
      <w:tr w:rsidR="009921F5" w:rsidRPr="009921F5" w:rsidTr="006844F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Jakość stosowanych kryteriów wyboru operacji i procedur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LGD, Zarząd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Analiza ankiet przeprowadzonych z beneficjentami, dokumentacji dotyczącej realizacji operacji zgromadzonej w biurze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roczna w latach dokonywana w pierwszym kwartale roku kolejnego.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Stopień realizacji zaplanowanych operacji</w:t>
            </w:r>
          </w:p>
        </w:tc>
      </w:tr>
      <w:tr w:rsidR="009921F5" w:rsidRPr="009921F5" w:rsidTr="006844F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Zainteresowanie stroną internetową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Licznik odwiedzin strony internetowej, statystyki/dane od administratora strony internetowej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roczna w latach dokonywana w pierwszym kwartale roku kolejnego, z wyłączeniem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Skuteczność przepływu informacji, efektywność promocji obszaru LGD</w:t>
            </w:r>
          </w:p>
        </w:tc>
      </w:tr>
      <w:tr w:rsidR="009921F5" w:rsidRPr="009921F5" w:rsidTr="006844F3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Skuteczność promocji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i aktywizacji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społeczności lokalnej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Badania ankietowe wśród mieszkańców,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prowadzone bezpośrednio, za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pośrednictwem strony internetowej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Stowarzyszenia.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roczna w latach dokonywana w pierwszym kwartale roku kolejnego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skuteczności promocji LGD oraz działań wdrażanych w ramach LSR, mierzona, jako liczba osób, które uzyskały informację na temat LGD oraz skuteczność animacji społeczności.</w:t>
            </w:r>
          </w:p>
        </w:tc>
      </w:tr>
      <w:tr w:rsidR="009921F5" w:rsidRPr="009921F5" w:rsidTr="006844F3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Działalność LGD,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pracownicy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i funkcjonowanie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biura.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Zespół Monitorujący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Badania ankietowe, opinie beneficjentów,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rozmowy z mieszkańcami na otwartych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spotkaniach, wywiady z wnioskodawcami,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opinie członków</w:t>
            </w: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Stowarzyszenia.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Raz na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poprawności działalności prowadzonej przez Stowarzyszenie, określająca skuteczność realizowanych zadań w odniesieniu do założeń LSR</w:t>
            </w:r>
          </w:p>
        </w:tc>
      </w:tr>
      <w:tr w:rsidR="009921F5" w:rsidRPr="009921F5" w:rsidTr="006844F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Budżet LSR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Biuro 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Rejestr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Raz na 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F5" w:rsidRPr="009921F5" w:rsidRDefault="009921F5" w:rsidP="009921F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9921F5">
              <w:rPr>
                <w:rFonts w:eastAsia="Times New Roman" w:cstheme="minorHAnsi"/>
                <w:kern w:val="0"/>
                <w:lang w:eastAsia="pl-PL"/>
                <w14:ligatures w14:val="none"/>
              </w:rPr>
              <w:t>Ocena zgodności i wysokości wydatkowania środków finansowych z przyznanego budżetu na poszczególne zadania/przedsięwzięcia</w:t>
            </w:r>
          </w:p>
        </w:tc>
      </w:tr>
    </w:tbl>
    <w:p w:rsidR="00C53E7D" w:rsidRDefault="00C53E7D"/>
    <w:sectPr w:rsidR="00C5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08D0"/>
    <w:multiLevelType w:val="hybridMultilevel"/>
    <w:tmpl w:val="A288C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C7C"/>
    <w:multiLevelType w:val="hybridMultilevel"/>
    <w:tmpl w:val="61EA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0083"/>
    <w:multiLevelType w:val="hybridMultilevel"/>
    <w:tmpl w:val="69B847E6"/>
    <w:lvl w:ilvl="0" w:tplc="EF5E6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6547">
    <w:abstractNumId w:val="2"/>
  </w:num>
  <w:num w:numId="2" w16cid:durableId="672491059">
    <w:abstractNumId w:val="0"/>
  </w:num>
  <w:num w:numId="3" w16cid:durableId="21686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F5"/>
    <w:rsid w:val="00144FC4"/>
    <w:rsid w:val="001E6C30"/>
    <w:rsid w:val="009921F5"/>
    <w:rsid w:val="00C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4060"/>
  <w15:chartTrackingRefBased/>
  <w15:docId w15:val="{B7AD7E5B-AEF2-426A-884C-F704304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1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1942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biuro@kaszubskadroga.pl</dc:creator>
  <cp:keywords/>
  <dc:description/>
  <cp:lastModifiedBy>biuro@kaszubskadroga.pl</cp:lastModifiedBy>
  <cp:revision>1</cp:revision>
  <dcterms:created xsi:type="dcterms:W3CDTF">2023-05-10T07:46:00Z</dcterms:created>
  <dcterms:modified xsi:type="dcterms:W3CDTF">2023-05-10T07:48:00Z</dcterms:modified>
</cp:coreProperties>
</file>