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4ADC" w:rsidRPr="00CB19BF" w:rsidRDefault="00114ADC" w:rsidP="00114ADC">
      <w:pPr>
        <w:pStyle w:val="Nagwek1"/>
        <w:rPr>
          <w:color w:val="auto"/>
        </w:rPr>
      </w:pPr>
      <w:r w:rsidRPr="00CB19BF">
        <w:rPr>
          <w:color w:val="auto"/>
        </w:rPr>
        <w:t>Plan komunikacji</w:t>
      </w:r>
    </w:p>
    <w:p w:rsidR="0040205C" w:rsidRPr="00CB19BF" w:rsidRDefault="0040205C" w:rsidP="00114ADC">
      <w:pPr>
        <w:spacing w:after="0" w:line="276" w:lineRule="auto"/>
        <w:jc w:val="both"/>
        <w:rPr>
          <w:b/>
          <w:bCs/>
        </w:rPr>
      </w:pPr>
    </w:p>
    <w:p w:rsidR="00114ADC" w:rsidRPr="00CB19BF" w:rsidRDefault="00114ADC" w:rsidP="00114ADC">
      <w:pPr>
        <w:spacing w:after="0" w:line="276" w:lineRule="auto"/>
        <w:jc w:val="both"/>
      </w:pPr>
      <w:r w:rsidRPr="00CB19BF">
        <w:t>W procesie budowy i wdrażania LSR niezbędnym warunkiem jest sprawna i efektywna komunikacja. Niezwykle ważną cechą komunikacji jest jej obustronność, a więc komunikacja na linii LGD „Kaszubska Droga” – społeczność lokalna – LGD „Kaszubska Droga”. Takie podejście do procesu komunikowania oznacza, że otrzymuje się informację zwrotną, świadczącą o efektach komunikowania. To jest podstawą do stworzenia warunków do ciągłego, systematycznego,  aktywnego i szeroko rozumianego uczestnictwa społeczności lokalnych w bieżącym wdrażaniu LSR.</w:t>
      </w:r>
    </w:p>
    <w:p w:rsidR="009A3D66" w:rsidRPr="00CB19BF" w:rsidRDefault="00D91A72" w:rsidP="009A3D66">
      <w:pPr>
        <w:spacing w:after="0" w:line="276" w:lineRule="auto"/>
        <w:jc w:val="both"/>
      </w:pPr>
      <w:r w:rsidRPr="00CB19BF">
        <w:t>Główną p</w:t>
      </w:r>
      <w:r w:rsidR="009A3D66" w:rsidRPr="00CB19BF">
        <w:t>rzesłanką do opracowania Planu leży przekonanie, że dobra komunikacja jest konieczna, aby sprawnie i dobrze zrealizować zadania wynikające z zapisów LSR. Komunikacja pomaga w wykorzystaniu środków europejskich dla rozwoju obszaru działania LGD: wskazuje możliwości, wspiera realizację projektów, a także pokazuje ich efekty.</w:t>
      </w:r>
    </w:p>
    <w:p w:rsidR="00D91A72" w:rsidRPr="00CB19BF" w:rsidRDefault="00D91A72" w:rsidP="00D91A72">
      <w:pPr>
        <w:spacing w:after="0" w:line="276" w:lineRule="auto"/>
        <w:jc w:val="both"/>
      </w:pPr>
      <w:r w:rsidRPr="00CB19BF">
        <w:t>Pozostałe przesłanki leżące u podstaw opracowania planu komunikacji to:</w:t>
      </w:r>
    </w:p>
    <w:p w:rsidR="00D91A72" w:rsidRPr="00CB19BF" w:rsidRDefault="00D91A72" w:rsidP="00D91A72">
      <w:pPr>
        <w:pStyle w:val="Akapitzlist"/>
        <w:numPr>
          <w:ilvl w:val="0"/>
          <w:numId w:val="5"/>
        </w:numPr>
        <w:spacing w:after="0" w:line="276" w:lineRule="auto"/>
        <w:jc w:val="both"/>
      </w:pPr>
      <w:r w:rsidRPr="00CB19BF">
        <w:t>skorelowanie działań prowadzonych przez LGD w zakresie realizacji LSR z rzetelną i wiarygodną informacją na temat możliwości uzyskania dofinansowania na ważne społecznie i gospodarczo przedsięwzięcia przewidziane w strategii;</w:t>
      </w:r>
    </w:p>
    <w:p w:rsidR="00D91A72" w:rsidRPr="00CB19BF" w:rsidRDefault="00D91A72" w:rsidP="00D91A72">
      <w:pPr>
        <w:pStyle w:val="Akapitzlist"/>
        <w:numPr>
          <w:ilvl w:val="0"/>
          <w:numId w:val="5"/>
        </w:numPr>
        <w:spacing w:after="0" w:line="276" w:lineRule="auto"/>
        <w:jc w:val="both"/>
      </w:pPr>
      <w:r w:rsidRPr="00CB19BF">
        <w:t>dobranie odpowiednich, zróżnicowanych metod dotarcia do potencjalnych beneficjentów działań przewidzianych w LSR, w szczególności do grup szczególnie istotnych z punktu widzenia wdrażania LSR;</w:t>
      </w:r>
    </w:p>
    <w:p w:rsidR="00D91A72" w:rsidRPr="00CB19BF" w:rsidRDefault="00D91A72" w:rsidP="00D91A72">
      <w:pPr>
        <w:pStyle w:val="Akapitzlist"/>
        <w:numPr>
          <w:ilvl w:val="0"/>
          <w:numId w:val="5"/>
        </w:numPr>
        <w:spacing w:after="0" w:line="276" w:lineRule="auto"/>
        <w:jc w:val="both"/>
      </w:pPr>
      <w:r w:rsidRPr="00CB19BF">
        <w:t>doskonalenie działania LGD w zakresie realizacji LSR poprzez analizę informacji zwrotnych uzyskiwanych w procesie wdrażania planu komunikacji i jego weryfikacją</w:t>
      </w:r>
    </w:p>
    <w:p w:rsidR="00114ADC" w:rsidRPr="00CB19BF" w:rsidRDefault="00114ADC" w:rsidP="00114ADC">
      <w:pPr>
        <w:spacing w:after="0" w:line="276" w:lineRule="auto"/>
        <w:jc w:val="both"/>
      </w:pPr>
      <w:r w:rsidRPr="00CB19BF">
        <w:t>Budując plan komunikowania zdecydowaliśmy, że kluczowym celem komunikowania będzie aktywizacja społeczności lokalnej wokół wspólnego celu, jakim jest rozwój lokalny poprzez włączanie się w realizację przedsięwzięć zaplanowanych w LSR oraz budowanie pozytywnego wizerunku LGD</w:t>
      </w:r>
      <w:r w:rsidR="00584532" w:rsidRPr="00CB19BF">
        <w:t>.</w:t>
      </w:r>
    </w:p>
    <w:p w:rsidR="00114ADC" w:rsidRPr="00CB19BF" w:rsidRDefault="00114ADC" w:rsidP="00351116">
      <w:pPr>
        <w:spacing w:after="0" w:line="276" w:lineRule="auto"/>
        <w:jc w:val="both"/>
      </w:pPr>
      <w:r w:rsidRPr="00CB19BF">
        <w:t xml:space="preserve">Cele </w:t>
      </w:r>
      <w:r w:rsidR="002F74E8" w:rsidRPr="00CB19BF">
        <w:t>szczegółowe</w:t>
      </w:r>
      <w:r w:rsidRPr="00CB19BF">
        <w:t xml:space="preserve"> planu komunikacji wpisują się w cel kluczowy – nadrzędny, ale uwzględniają cele ogólne LSR, realizacji których podporządkowane będą działania komunikacyjne. W odniesieniu do LGD działania komunikacyjne związane będą ściśle z dwoma celami ogólnymi LSR. Opis planu komunikacji prezentujemy w układzie: cel ogólny LSR, podporządkowany mu cel komunikacyjny, adresaci działań komunikacyjnych, środki i działania komunikacyjne, efekty tych działań i wskaźniki</w:t>
      </w:r>
      <w:r w:rsidR="00851100" w:rsidRPr="00CB19BF">
        <w:t xml:space="preserve"> (zamieszczone w tabeli poniżej)</w:t>
      </w:r>
      <w:r w:rsidRPr="00CB19BF">
        <w:t>. Zakładamy, że wskaźniki będą spójne ze wskaźnikami produktu określonymi w planie działania i podane w formie mierzalnej. Niemniej są tam także określone wskaźniki, których zmierzyć nie możemy, np. zmiany w postawach obywatelskich, lecz spodziewamy się, że korzystne zmiany</w:t>
      </w:r>
      <w:r w:rsidR="00351116" w:rsidRPr="00CB19BF">
        <w:t xml:space="preserve"> </w:t>
      </w:r>
      <w:r w:rsidRPr="00CB19BF">
        <w:t>w postawach obywatelskich wpłyną na wzrost potencjału kapitału społecznego.</w:t>
      </w:r>
    </w:p>
    <w:p w:rsidR="0040205C" w:rsidRPr="00CB19BF" w:rsidRDefault="00632310" w:rsidP="00351116">
      <w:pPr>
        <w:spacing w:after="0" w:line="276" w:lineRule="auto"/>
        <w:jc w:val="both"/>
      </w:pPr>
      <w:r w:rsidRPr="00CB19BF">
        <w:t>Cel</w:t>
      </w:r>
      <w:r w:rsidR="0040205C" w:rsidRPr="00CB19BF">
        <w:t>a</w:t>
      </w:r>
      <w:r w:rsidR="00D13589" w:rsidRPr="00CB19BF">
        <w:t>mi</w:t>
      </w:r>
      <w:r w:rsidRPr="00CB19BF">
        <w:t xml:space="preserve"> szczegółow</w:t>
      </w:r>
      <w:r w:rsidR="0040205C" w:rsidRPr="00CB19BF">
        <w:t>ymi planu komunikacji</w:t>
      </w:r>
      <w:r w:rsidR="00D13589" w:rsidRPr="00CB19BF">
        <w:t xml:space="preserve"> jest</w:t>
      </w:r>
      <w:r w:rsidRPr="00CB19BF">
        <w:t>:</w:t>
      </w:r>
    </w:p>
    <w:p w:rsidR="0040205C" w:rsidRPr="00CB19BF" w:rsidRDefault="0040205C" w:rsidP="0040205C">
      <w:pPr>
        <w:pStyle w:val="Akapitzlist"/>
        <w:numPr>
          <w:ilvl w:val="0"/>
          <w:numId w:val="2"/>
        </w:numPr>
        <w:spacing w:after="0" w:line="276" w:lineRule="auto"/>
        <w:jc w:val="both"/>
      </w:pPr>
      <w:r w:rsidRPr="00CB19BF">
        <w:t>p</w:t>
      </w:r>
      <w:r w:rsidR="00632310" w:rsidRPr="00CB19BF">
        <w:t>odniesienie świadomości mieszkańców w zakresie potencjalnych korzyści wynikających z aktywnego włączenia się w przygotowanie i realizację operacji wspieranych ze środków LSR poprzez działania informacyjne, promocyjne i aktywizacyjne prowadzone przez LGD</w:t>
      </w:r>
    </w:p>
    <w:p w:rsidR="0040205C" w:rsidRPr="00CB19BF" w:rsidRDefault="0040205C" w:rsidP="0040205C">
      <w:pPr>
        <w:pStyle w:val="Akapitzlist"/>
        <w:numPr>
          <w:ilvl w:val="0"/>
          <w:numId w:val="2"/>
        </w:numPr>
        <w:spacing w:after="0" w:line="276" w:lineRule="auto"/>
        <w:jc w:val="both"/>
      </w:pPr>
      <w:r w:rsidRPr="00CB19BF">
        <w:t>z</w:t>
      </w:r>
      <w:r w:rsidR="00632310" w:rsidRPr="00CB19BF">
        <w:t>apewnienie szerokiego, łatwego dostępu do rzetelnych, przejrzystych informacji o LSR dla ogółu interesariuszy z wykorzystaniem różnych środków przekazu</w:t>
      </w:r>
    </w:p>
    <w:p w:rsidR="00632310" w:rsidRPr="00CB19BF" w:rsidRDefault="0040205C" w:rsidP="0040205C">
      <w:pPr>
        <w:pStyle w:val="Akapitzlist"/>
        <w:numPr>
          <w:ilvl w:val="0"/>
          <w:numId w:val="2"/>
        </w:numPr>
        <w:spacing w:after="0" w:line="276" w:lineRule="auto"/>
        <w:jc w:val="both"/>
      </w:pPr>
      <w:r w:rsidRPr="00CB19BF">
        <w:t>z</w:t>
      </w:r>
      <w:r w:rsidR="00632310" w:rsidRPr="00CB19BF">
        <w:t>apewnienie adekwatnego wsparcia potencjalnych wnioskodawców w zakresie pozyskiwania środków w ramach LSR oraz w procesie realizacji i rozliczania operacji, poprzez profesjonalną informację i doradztwo ze strony LGD</w:t>
      </w:r>
      <w:r w:rsidRPr="00CB19BF">
        <w:t>.</w:t>
      </w:r>
    </w:p>
    <w:p w:rsidR="0040205C" w:rsidRPr="00CB19BF" w:rsidRDefault="0040205C" w:rsidP="00351116">
      <w:pPr>
        <w:spacing w:after="0" w:line="276" w:lineRule="auto"/>
        <w:jc w:val="both"/>
        <w:rPr>
          <w:b/>
          <w:bCs/>
        </w:rPr>
      </w:pPr>
    </w:p>
    <w:p w:rsidR="00114ADC" w:rsidRPr="00CB19BF" w:rsidRDefault="0040205C" w:rsidP="00351116">
      <w:pPr>
        <w:spacing w:after="0" w:line="276" w:lineRule="auto"/>
        <w:jc w:val="both"/>
      </w:pPr>
      <w:r w:rsidRPr="00CB19BF">
        <w:t>Cele planu będą osiągnięte poprzez:</w:t>
      </w:r>
      <w:r w:rsidR="00114ADC" w:rsidRPr="00CB19BF">
        <w:t xml:space="preserve"> okresowe informowanie społeczności</w:t>
      </w:r>
      <w:r w:rsidR="00584532" w:rsidRPr="00CB19BF">
        <w:t xml:space="preserve"> </w:t>
      </w:r>
      <w:r w:rsidR="00114ADC" w:rsidRPr="00CB19BF">
        <w:t>lokalnej o stanie realizacji LSR</w:t>
      </w:r>
      <w:r w:rsidRPr="00CB19BF">
        <w:t>;</w:t>
      </w:r>
      <w:r w:rsidR="00114ADC" w:rsidRPr="00CB19BF">
        <w:t xml:space="preserve"> wsparcie informacyjne potencjalnych beneficjentów w przygotowania wniosków aplikacyjnych i pozyskiwania środków finansowych z UE</w:t>
      </w:r>
      <w:r w:rsidRPr="00CB19BF">
        <w:t>;</w:t>
      </w:r>
      <w:r w:rsidR="00114ADC" w:rsidRPr="00CB19BF">
        <w:t xml:space="preserve"> inform</w:t>
      </w:r>
      <w:r w:rsidRPr="00CB19BF">
        <w:t>owanie</w:t>
      </w:r>
      <w:r w:rsidR="00114ADC" w:rsidRPr="00CB19BF">
        <w:t xml:space="preserve"> z elementami edukacyjnymi skierowan</w:t>
      </w:r>
      <w:r w:rsidR="003A6ECE" w:rsidRPr="00CB19BF">
        <w:t>e</w:t>
      </w:r>
      <w:r w:rsidR="00114ADC" w:rsidRPr="00CB19BF">
        <w:t xml:space="preserve"> do określonych grup docelowych włączonych w proces wdrażania LSR</w:t>
      </w:r>
      <w:r w:rsidRPr="00CB19BF">
        <w:t>;</w:t>
      </w:r>
      <w:r w:rsidR="00114ADC" w:rsidRPr="00CB19BF">
        <w:t xml:space="preserve"> popularyzowanie i promocja efektów realizacji projektów innowacyjnych</w:t>
      </w:r>
      <w:r w:rsidRPr="00CB19BF">
        <w:t>;</w:t>
      </w:r>
      <w:r w:rsidR="00114ADC" w:rsidRPr="00CB19BF">
        <w:t xml:space="preserve"> prezentacj</w:t>
      </w:r>
      <w:r w:rsidRPr="00CB19BF">
        <w:t>ę</w:t>
      </w:r>
      <w:r w:rsidR="00114ADC" w:rsidRPr="00CB19BF">
        <w:t xml:space="preserve"> sukcesów we wdrażaniu LSR</w:t>
      </w:r>
      <w:r w:rsidRPr="00CB19BF">
        <w:t>;</w:t>
      </w:r>
      <w:r w:rsidR="00114ADC" w:rsidRPr="00CB19BF">
        <w:t xml:space="preserve"> bieżące informowanie o wszystkich ewentualnych zmianach w LSR.</w:t>
      </w:r>
    </w:p>
    <w:p w:rsidR="0040205C" w:rsidRPr="00CB19BF" w:rsidRDefault="0040205C" w:rsidP="00351116">
      <w:pPr>
        <w:spacing w:after="0" w:line="276" w:lineRule="auto"/>
        <w:jc w:val="both"/>
      </w:pPr>
    </w:p>
    <w:p w:rsidR="002F74E8" w:rsidRPr="00CB19BF" w:rsidRDefault="002F74E8" w:rsidP="002F74E8">
      <w:pPr>
        <w:spacing w:after="0" w:line="276" w:lineRule="auto"/>
        <w:jc w:val="both"/>
      </w:pPr>
      <w:r w:rsidRPr="00CB19BF">
        <w:lastRenderedPageBreak/>
        <w:t xml:space="preserve">Odbiorcą komunikacji o LSR jest każdy mieszkaniec obszaru działania LGD. Grupa „mieszkańcy” nie jest jednak jednolita i dlatego istnieje konieczność zróżnicowania komunikatów. Podstawowym kryterium podziału docelowych odbiorców jest poziom ich zaangażowania w proces zmian rozwojowych na obszarze działania LGD. Liderzy lokalni oraz organizacje i instytucje z obszaru mają większe potrzeby informacyjne od podmiotów bezpośrednio w ten proces niezaangażowanych. Najtrudniej dotrzeć do ludzi biernych i </w:t>
      </w:r>
      <w:r w:rsidR="001C7A37" w:rsidRPr="00CB19BF">
        <w:t>w niekorzystnej sytuacji</w:t>
      </w:r>
      <w:r w:rsidRPr="00CB19BF">
        <w:t>. Oni muszą dostać komunikat motywujący i przekonywujący do kolejnego kroku, jakim jest sprawdzenie możliwości własnych uczestnictwa w programie.</w:t>
      </w:r>
    </w:p>
    <w:p w:rsidR="00C970B9" w:rsidRPr="00CB19BF" w:rsidRDefault="00114ADC" w:rsidP="00351116">
      <w:pPr>
        <w:spacing w:after="0" w:line="276" w:lineRule="auto"/>
        <w:jc w:val="both"/>
      </w:pPr>
      <w:r w:rsidRPr="00CB19BF">
        <w:t>Grupy docelowe, do których kierowane będą poszczególne działania komunikacyjne wynikają z LSR. Wśród tych grup są:</w:t>
      </w:r>
    </w:p>
    <w:p w:rsidR="00C970B9" w:rsidRPr="00CB19BF" w:rsidRDefault="00114ADC" w:rsidP="00C970B9">
      <w:pPr>
        <w:pStyle w:val="Akapitzlist"/>
        <w:numPr>
          <w:ilvl w:val="0"/>
          <w:numId w:val="3"/>
        </w:numPr>
        <w:spacing w:after="0" w:line="276" w:lineRule="auto"/>
        <w:jc w:val="both"/>
      </w:pPr>
      <w:r w:rsidRPr="00CB19BF">
        <w:t>społeczność lokalna</w:t>
      </w:r>
      <w:r w:rsidR="00C970B9" w:rsidRPr="00CB19BF">
        <w:t xml:space="preserve"> </w:t>
      </w:r>
      <w:r w:rsidR="002F74E8" w:rsidRPr="00CB19BF">
        <w:t>jako całość</w:t>
      </w:r>
      <w:r w:rsidRPr="00CB19BF">
        <w:t xml:space="preserve"> i wchodzące w jej skład </w:t>
      </w:r>
      <w:r w:rsidR="00351116" w:rsidRPr="00CB19BF">
        <w:t>grupy w niekorzystnej sytuacji społecznej i wymagające wsparcia (seniorzy w wieku 60+, osoby niepełnosprawne i ich rodziny/opiekunowie, osoby młode do 25 roku życia, w tym dzieci i młodzież z rodzin dysfunkcyjnych, rolnicy prowadzący działalność rolniczą w małych gospodarstwach)</w:t>
      </w:r>
      <w:r w:rsidRPr="00CB19BF">
        <w:t xml:space="preserve">; </w:t>
      </w:r>
    </w:p>
    <w:p w:rsidR="00C970B9" w:rsidRPr="00CB19BF" w:rsidRDefault="00114ADC" w:rsidP="00C970B9">
      <w:pPr>
        <w:pStyle w:val="Akapitzlist"/>
        <w:numPr>
          <w:ilvl w:val="0"/>
          <w:numId w:val="3"/>
        </w:numPr>
        <w:spacing w:after="0" w:line="276" w:lineRule="auto"/>
        <w:jc w:val="both"/>
      </w:pPr>
      <w:r w:rsidRPr="00CB19BF">
        <w:t>faktyczni i potencjalni beneficjenci, w tym m.in. przedsiębiorcy, organizacje pozarządowe, jednostki samorządu terytorialnego; inni partnerzy społeczni i gospodarczy,  grupy młodzieżowe;</w:t>
      </w:r>
    </w:p>
    <w:p w:rsidR="00C970B9" w:rsidRPr="00CB19BF" w:rsidRDefault="00351116" w:rsidP="00C970B9">
      <w:pPr>
        <w:pStyle w:val="Akapitzlist"/>
        <w:numPr>
          <w:ilvl w:val="0"/>
          <w:numId w:val="3"/>
        </w:numPr>
        <w:spacing w:after="0" w:line="276" w:lineRule="auto"/>
        <w:jc w:val="both"/>
      </w:pPr>
      <w:r w:rsidRPr="00CB19BF">
        <w:t>grupy w niekorzystnej sytuacji na rynku pracy (bezrobotne kobiety, osoby długo bezrobotne (powyżej 12 miesięcy), bezrobotni powyżej 50 roku życia, osoby bezrobotne do 30 roku)</w:t>
      </w:r>
    </w:p>
    <w:p w:rsidR="00351116" w:rsidRPr="00CB19BF" w:rsidRDefault="002F74E8" w:rsidP="00C970B9">
      <w:pPr>
        <w:pStyle w:val="Akapitzlist"/>
        <w:numPr>
          <w:ilvl w:val="0"/>
          <w:numId w:val="3"/>
        </w:numPr>
        <w:spacing w:after="0" w:line="276" w:lineRule="auto"/>
        <w:jc w:val="both"/>
      </w:pPr>
      <w:r w:rsidRPr="00CB19BF">
        <w:t xml:space="preserve">lokalni liderzy (np. radni, sołtysi, działacze w organizacjach pozarządowych), </w:t>
      </w:r>
      <w:r w:rsidR="00C970B9" w:rsidRPr="00CB19BF">
        <w:t>członkowie LGD i pracownicy Biura LGD</w:t>
      </w:r>
      <w:r w:rsidR="00351116" w:rsidRPr="00CB19BF">
        <w:t>.</w:t>
      </w:r>
      <w:r w:rsidR="00114ADC" w:rsidRPr="00CB19BF">
        <w:t xml:space="preserve"> </w:t>
      </w:r>
    </w:p>
    <w:p w:rsidR="00114ADC" w:rsidRPr="00CB19BF" w:rsidRDefault="00114ADC" w:rsidP="00351116">
      <w:pPr>
        <w:spacing w:after="0" w:line="276" w:lineRule="auto"/>
        <w:jc w:val="both"/>
      </w:pPr>
      <w:r w:rsidRPr="00CB19BF">
        <w:t>Przy doborze środków i narzędzi komunikacji uwzględniliśmy zarówno cel komunikowania, grupę</w:t>
      </w:r>
      <w:r w:rsidR="00351116" w:rsidRPr="00CB19BF">
        <w:t xml:space="preserve"> </w:t>
      </w:r>
      <w:r w:rsidRPr="00CB19BF">
        <w:t>docelową, jak i zakładany efekt. Nie bez znaczenia była tu też wiedza i doświadczenie wynikające z okresu wdrażania poprzednich strategii, podczas którego wykorzystywaliśmy różne środki informacyjne i promocyjne i wiemy, które z nich sprawdzają się najlepiej na obszarze naszej LGD. Ponadto wzięliśmy pod uwagę potrzeby informacyjne społeczności lokalnej wyrażone w prowadzonych badaniach w ramach diagnozy obszaru.</w:t>
      </w:r>
    </w:p>
    <w:p w:rsidR="00114ADC" w:rsidRPr="00CB19BF" w:rsidRDefault="00114ADC" w:rsidP="00351116">
      <w:pPr>
        <w:spacing w:after="0" w:line="276" w:lineRule="auto"/>
        <w:jc w:val="both"/>
      </w:pPr>
      <w:r w:rsidRPr="00CB19BF">
        <w:t>Zdecydowaliśmy, że do ogółu społeczności lokalnej najbardziej odpowiedni</w:t>
      </w:r>
      <w:r w:rsidR="00CA2D44" w:rsidRPr="00CB19BF">
        <w:t>ą</w:t>
      </w:r>
      <w:r w:rsidRPr="00CB19BF">
        <w:t xml:space="preserve"> metodą komunikowania będą kampanie informacyjno-promocyjne, ponieważ ich celem będzie szeroka informacja i promocja LSR i zaplanowanych w niej przedsięwzięć oraz kryteriów i procedury oceny wniosków aplikacyjnych.</w:t>
      </w:r>
    </w:p>
    <w:p w:rsidR="00364067" w:rsidRPr="00CB19BF" w:rsidRDefault="00114ADC" w:rsidP="00F93D69">
      <w:pPr>
        <w:spacing w:after="0" w:line="276" w:lineRule="auto"/>
        <w:jc w:val="both"/>
      </w:pPr>
      <w:r w:rsidRPr="00CB19BF">
        <w:t>W kampaniach tych głównymi środkami przekazu będą spotkania bezpośrednie oraz środki masowego przekazu</w:t>
      </w:r>
      <w:r w:rsidR="00851100" w:rsidRPr="00CB19BF">
        <w:t>. W</w:t>
      </w:r>
      <w:r w:rsidR="006A7CAE" w:rsidRPr="00CB19BF">
        <w:t xml:space="preserve">ażnym </w:t>
      </w:r>
      <w:r w:rsidRPr="00CB19BF">
        <w:t xml:space="preserve">środkiem będą </w:t>
      </w:r>
      <w:r w:rsidR="00851100" w:rsidRPr="00CB19BF">
        <w:t xml:space="preserve">lokalne </w:t>
      </w:r>
      <w:r w:rsidRPr="00CB19BF">
        <w:t>portale internetowe LGD i podmiotów wchodzących w skład obszaru LGD „</w:t>
      </w:r>
      <w:r w:rsidR="00351116" w:rsidRPr="00CB19BF">
        <w:t>Kaszubska Droga</w:t>
      </w:r>
      <w:r w:rsidRPr="00CB19BF">
        <w:t xml:space="preserve">”, portale społecznościowe (Facebook), które poza podstawowymi informacjami będą prezentować wszystkie dokumenty związane z wdrażaniem LSR. Ponadto na portalach internetowych będą zamieszczane inne bieżące informacje, np. o terminach naboru wniosków aplikacyjnych, planowanych konkursach, rodzajach projektów itp., wraz z danymi kontaktowymi pracowników biura LGD, którzy mogą udzielić doradztwa odnośnie przygotowania wniosku. Ponadto </w:t>
      </w:r>
      <w:r w:rsidR="00F93D69" w:rsidRPr="00CB19BF">
        <w:t xml:space="preserve">przewidujemy </w:t>
      </w:r>
      <w:r w:rsidRPr="00CB19BF">
        <w:t>seminaria i spotkania warsztatowe</w:t>
      </w:r>
      <w:r w:rsidR="00584532" w:rsidRPr="00CB19BF">
        <w:t xml:space="preserve"> (w tym hybrydowe</w:t>
      </w:r>
      <w:r w:rsidR="00364067" w:rsidRPr="00CB19BF">
        <w:t>, np. dla osób niepełnosprawnych, seniorów, rodziców małych dzieci</w:t>
      </w:r>
      <w:r w:rsidR="00584532" w:rsidRPr="00CB19BF">
        <w:t xml:space="preserve"> łączące tryb stacjonarny z trybem online)</w:t>
      </w:r>
      <w:r w:rsidRPr="00CB19BF">
        <w:t xml:space="preserve"> kierowane głównie do potencjalnych beneficjentów, informacje i doradztwo merytoryczne dla wnioskodawców. Niektóre informacje zamieszczane na portalach internetowych będą miały formę interaktywną, co jest do pewnego stopnia nowatorskie na obszarze naszej LGD, ale równocześnie będzie elementem pozyskiwania przez nas informacji zwrotnej. </w:t>
      </w:r>
      <w:r w:rsidR="00F93D69" w:rsidRPr="00CB19BF">
        <w:t xml:space="preserve">Planujemy stworzyć fora internetowe (dostosowane do potrzeb osób niepełnosprawnych) służące wymianie doświadczeń, uwag dotyczących wdrażania LSR oraz  zgłaszaniu pomysłów dotyczący działania LGD. </w:t>
      </w:r>
      <w:r w:rsidR="00351116" w:rsidRPr="00CB19BF">
        <w:t>D</w:t>
      </w:r>
      <w:r w:rsidRPr="00CB19BF">
        <w:t>obrym środkiem informacyjno-promocyjnym – sprawdzonym już w poprzednich okresach – będą okazjonalne imprezy masowe zarówno te organizowane przez LGD, jak i uczestnictwo LGD w podobnych imprezach organizowanych przez inne podmioty społeczne i gospodarcze</w:t>
      </w:r>
      <w:r w:rsidR="00F93D69" w:rsidRPr="00CB19BF">
        <w:t xml:space="preserve"> naszego obszaru</w:t>
      </w:r>
      <w:r w:rsidRPr="00CB19BF">
        <w:t>.</w:t>
      </w:r>
      <w:r w:rsidR="00F93D69" w:rsidRPr="00CB19BF">
        <w:t xml:space="preserve"> W każdej gminie członkowskiej w </w:t>
      </w:r>
      <w:r w:rsidR="00851100" w:rsidRPr="00CB19BF">
        <w:t>2024 i 2026</w:t>
      </w:r>
      <w:r w:rsidR="00F93D69" w:rsidRPr="00CB19BF">
        <w:t xml:space="preserve"> r.</w:t>
      </w:r>
      <w:r w:rsidR="00364067" w:rsidRPr="00CB19BF">
        <w:t xml:space="preserve"> </w:t>
      </w:r>
      <w:r w:rsidR="00F93D69" w:rsidRPr="00CB19BF">
        <w:t>zostanie</w:t>
      </w:r>
      <w:r w:rsidR="00364067" w:rsidRPr="00CB19BF">
        <w:t xml:space="preserve"> </w:t>
      </w:r>
      <w:r w:rsidR="00F93D69" w:rsidRPr="00CB19BF">
        <w:t>organizowane po 1 spotkaniu informacyjnym na temat wdrażania LSR.</w:t>
      </w:r>
    </w:p>
    <w:p w:rsidR="00114ADC" w:rsidRPr="00CB19BF" w:rsidRDefault="00FE70B1" w:rsidP="002F74E8">
      <w:pPr>
        <w:spacing w:after="0" w:line="276" w:lineRule="auto"/>
        <w:jc w:val="both"/>
      </w:pPr>
      <w:r w:rsidRPr="00CB19BF">
        <w:t>Specjalne działania zostaną wdrożone w</w:t>
      </w:r>
      <w:r w:rsidR="00364067" w:rsidRPr="00CB19BF">
        <w:t xml:space="preserve"> sytuacji stwierdzenia niskiego poparcia społecznego dla działań realizowanych przez LGD. </w:t>
      </w:r>
      <w:r w:rsidR="002A79A8" w:rsidRPr="00CB19BF">
        <w:t>I</w:t>
      </w:r>
      <w:r w:rsidRPr="00CB19BF">
        <w:t xml:space="preserve"> tak np. w przypadku negatywnej opinii oraz słabego poparci</w:t>
      </w:r>
      <w:r w:rsidR="002A79A8" w:rsidRPr="00CB19BF">
        <w:t>a</w:t>
      </w:r>
      <w:r w:rsidRPr="00CB19BF">
        <w:t xml:space="preserve"> społeczne</w:t>
      </w:r>
      <w:r w:rsidR="002A79A8" w:rsidRPr="00CB19BF">
        <w:t>go</w:t>
      </w:r>
      <w:r w:rsidRPr="00CB19BF">
        <w:t xml:space="preserve"> </w:t>
      </w:r>
      <w:r w:rsidR="002A79A8" w:rsidRPr="00CB19BF">
        <w:t>mieszkańców</w:t>
      </w:r>
      <w:r w:rsidRPr="00CB19BF">
        <w:t xml:space="preserve"> dla działań realizowanych przez LGD</w:t>
      </w:r>
      <w:r w:rsidR="002A79A8" w:rsidRPr="00CB19BF">
        <w:t>, malej ilości wniosków składanych w odpowiedzi na konkursy</w:t>
      </w:r>
      <w:r w:rsidRPr="00CB19BF">
        <w:t xml:space="preserve"> zostanie przeprowadzona kampania </w:t>
      </w:r>
      <w:r w:rsidR="002A79A8" w:rsidRPr="00CB19BF">
        <w:t>promocyjna</w:t>
      </w:r>
      <w:r w:rsidRPr="00CB19BF">
        <w:t xml:space="preserve"> nt. działalności LGD</w:t>
      </w:r>
      <w:r w:rsidR="002A79A8" w:rsidRPr="00CB19BF">
        <w:t xml:space="preserve"> zawierająca elementy zachęcające do współpracy z LGD, </w:t>
      </w:r>
      <w:r w:rsidR="002A79A8" w:rsidRPr="00CB19BF">
        <w:lastRenderedPageBreak/>
        <w:t>np. konkurs z nagrodami, zintensyfikowanie działań informacyjnych do konkretnych grup społeczeństwa</w:t>
      </w:r>
      <w:r w:rsidR="002F74E8" w:rsidRPr="00CB19BF">
        <w:t xml:space="preserve"> (LGD zwracać się będzie do organizacji </w:t>
      </w:r>
      <w:bookmarkStart w:id="0" w:name="_Hlk136264257"/>
      <w:r w:rsidR="002F74E8" w:rsidRPr="00CB19BF">
        <w:t>reprezentujących dane środowisko, samorząd gospodarczy, powiatowe forum organizacji pozarządowych, itp.)</w:t>
      </w:r>
      <w:bookmarkEnd w:id="0"/>
      <w:r w:rsidR="002F74E8" w:rsidRPr="00CB19BF">
        <w:t>.</w:t>
      </w:r>
    </w:p>
    <w:p w:rsidR="002A79A8" w:rsidRPr="00CB19BF" w:rsidRDefault="002A79A8" w:rsidP="00F93D69">
      <w:pPr>
        <w:spacing w:after="0" w:line="276" w:lineRule="auto"/>
        <w:jc w:val="both"/>
      </w:pPr>
    </w:p>
    <w:p w:rsidR="00114ADC" w:rsidRPr="00CB19BF" w:rsidRDefault="00114ADC" w:rsidP="00F93D69">
      <w:pPr>
        <w:spacing w:after="0" w:line="276" w:lineRule="auto"/>
        <w:jc w:val="both"/>
      </w:pPr>
      <w:r w:rsidRPr="00CB19BF">
        <w:t>W odniesieniu do budowy planu komunikowania wykorzystano następujące metody partycypacyjne:</w:t>
      </w:r>
    </w:p>
    <w:p w:rsidR="00F93D69" w:rsidRPr="00CB19BF" w:rsidRDefault="00114ADC" w:rsidP="00F93D69">
      <w:pPr>
        <w:pStyle w:val="Akapitzlist"/>
        <w:numPr>
          <w:ilvl w:val="0"/>
          <w:numId w:val="1"/>
        </w:numPr>
        <w:spacing w:after="0" w:line="276" w:lineRule="auto"/>
        <w:jc w:val="both"/>
      </w:pPr>
      <w:r w:rsidRPr="00CB19BF">
        <w:t>badania prowadzone w ramach diagnozy sytuacji;</w:t>
      </w:r>
    </w:p>
    <w:p w:rsidR="00F93D69" w:rsidRPr="00CB19BF" w:rsidRDefault="00114ADC" w:rsidP="00F93D69">
      <w:pPr>
        <w:pStyle w:val="Akapitzlist"/>
        <w:numPr>
          <w:ilvl w:val="0"/>
          <w:numId w:val="1"/>
        </w:numPr>
        <w:spacing w:after="0" w:line="276" w:lineRule="auto"/>
        <w:jc w:val="both"/>
      </w:pPr>
      <w:r w:rsidRPr="00CB19BF">
        <w:t xml:space="preserve">dyskusje grupowe w czasie spotkań konsultacyjnych; </w:t>
      </w:r>
    </w:p>
    <w:p w:rsidR="00F93D69" w:rsidRPr="00CB19BF" w:rsidRDefault="00114ADC" w:rsidP="00F93D69">
      <w:pPr>
        <w:pStyle w:val="Akapitzlist"/>
        <w:numPr>
          <w:ilvl w:val="0"/>
          <w:numId w:val="1"/>
        </w:numPr>
        <w:spacing w:after="0" w:line="276" w:lineRule="auto"/>
        <w:jc w:val="both"/>
      </w:pPr>
      <w:r w:rsidRPr="00CB19BF">
        <w:t>rozmowy indywidualne w biurze LGD;</w:t>
      </w:r>
    </w:p>
    <w:p w:rsidR="00F93D69" w:rsidRPr="00CB19BF" w:rsidRDefault="00114ADC" w:rsidP="00F93D69">
      <w:pPr>
        <w:pStyle w:val="Akapitzlist"/>
        <w:numPr>
          <w:ilvl w:val="0"/>
          <w:numId w:val="1"/>
        </w:numPr>
        <w:spacing w:after="0" w:line="276" w:lineRule="auto"/>
        <w:jc w:val="both"/>
      </w:pPr>
      <w:r w:rsidRPr="00CB19BF">
        <w:t xml:space="preserve">portal internetowy LGD; </w:t>
      </w:r>
    </w:p>
    <w:p w:rsidR="00C53E7D" w:rsidRPr="00CB19BF" w:rsidRDefault="00114ADC" w:rsidP="00F93D69">
      <w:pPr>
        <w:pStyle w:val="Akapitzlist"/>
        <w:numPr>
          <w:ilvl w:val="0"/>
          <w:numId w:val="1"/>
        </w:numPr>
        <w:spacing w:after="0" w:line="276" w:lineRule="auto"/>
        <w:jc w:val="both"/>
      </w:pPr>
      <w:r w:rsidRPr="00CB19BF">
        <w:t>portal społecznościowy (Facebook).</w:t>
      </w:r>
    </w:p>
    <w:p w:rsidR="0040205C" w:rsidRPr="00CB19BF" w:rsidRDefault="0040205C" w:rsidP="00632310">
      <w:pPr>
        <w:spacing w:after="0" w:line="276" w:lineRule="auto"/>
        <w:jc w:val="both"/>
      </w:pPr>
    </w:p>
    <w:p w:rsidR="002F74E8" w:rsidRPr="00CB19BF" w:rsidRDefault="002F74E8" w:rsidP="00632310">
      <w:pPr>
        <w:spacing w:after="0" w:line="276" w:lineRule="auto"/>
        <w:jc w:val="both"/>
      </w:pPr>
      <w:r w:rsidRPr="00CB19BF">
        <w:t xml:space="preserve">Działania komunikacyjne prowadzone przez LGD będą na bieżąco monitorowane: </w:t>
      </w:r>
    </w:p>
    <w:p w:rsidR="002F74E8" w:rsidRPr="00CB19BF" w:rsidRDefault="002F74E8" w:rsidP="002F74E8">
      <w:pPr>
        <w:pStyle w:val="Akapitzlist"/>
        <w:numPr>
          <w:ilvl w:val="0"/>
          <w:numId w:val="4"/>
        </w:numPr>
        <w:spacing w:after="0" w:line="276" w:lineRule="auto"/>
        <w:jc w:val="both"/>
      </w:pPr>
      <w:r w:rsidRPr="00CB19BF">
        <w:t xml:space="preserve">badana jest efektywność doradztwa poprzez Ankiety doradztwa, a skuteczność w aplikowaniu przez beneficjentów w konkursach; </w:t>
      </w:r>
    </w:p>
    <w:p w:rsidR="002F74E8" w:rsidRPr="00CB19BF" w:rsidRDefault="002F74E8" w:rsidP="002F74E8">
      <w:pPr>
        <w:pStyle w:val="Akapitzlist"/>
        <w:numPr>
          <w:ilvl w:val="0"/>
          <w:numId w:val="4"/>
        </w:numPr>
        <w:spacing w:after="0" w:line="276" w:lineRule="auto"/>
        <w:jc w:val="both"/>
      </w:pPr>
      <w:r w:rsidRPr="00CB19BF">
        <w:t xml:space="preserve">prowadzone są badania skuteczności działań (wydarzeń, imprez itp.), organizowanych przez LGD w ramach animacji i współpracy poprzez bieżącą ocenę prowadzoną po zakończonym działaniu (ocena oczekiwanych efektów do rzeczywistych); </w:t>
      </w:r>
    </w:p>
    <w:p w:rsidR="002F74E8" w:rsidRPr="00CB19BF" w:rsidRDefault="002F74E8" w:rsidP="002F74E8">
      <w:pPr>
        <w:pStyle w:val="Akapitzlist"/>
        <w:numPr>
          <w:ilvl w:val="0"/>
          <w:numId w:val="4"/>
        </w:numPr>
        <w:spacing w:after="0" w:line="276" w:lineRule="auto"/>
        <w:jc w:val="both"/>
      </w:pPr>
      <w:r w:rsidRPr="00CB19BF">
        <w:t xml:space="preserve">monitoruje się korespondencję mieszkańców z LGD pod kątem wzrostu/spadku zainteresowania LGD; </w:t>
      </w:r>
    </w:p>
    <w:p w:rsidR="002F74E8" w:rsidRPr="00CB19BF" w:rsidRDefault="002F74E8" w:rsidP="002F74E8">
      <w:pPr>
        <w:pStyle w:val="Akapitzlist"/>
        <w:numPr>
          <w:ilvl w:val="0"/>
          <w:numId w:val="4"/>
        </w:numPr>
        <w:spacing w:after="0" w:line="276" w:lineRule="auto"/>
        <w:jc w:val="both"/>
      </w:pPr>
      <w:r w:rsidRPr="00CB19BF">
        <w:t>utrzymywany jest stały kontakt z samorządami, które informują poprzez swoich pracowników o bieżących działaniach LGD, ale także zwrotnie przekazują zapotrzebowanie na dodatkowe działania komunikacyjne.</w:t>
      </w:r>
    </w:p>
    <w:p w:rsidR="002F74E8" w:rsidRPr="00CB19BF" w:rsidRDefault="002F74E8" w:rsidP="00C970B9">
      <w:pPr>
        <w:spacing w:after="0" w:line="276" w:lineRule="auto"/>
        <w:jc w:val="both"/>
      </w:pPr>
    </w:p>
    <w:p w:rsidR="00D859CF" w:rsidRPr="00CB19BF" w:rsidRDefault="00D859CF" w:rsidP="00C970B9">
      <w:pPr>
        <w:spacing w:after="0" w:line="276" w:lineRule="auto"/>
        <w:jc w:val="both"/>
      </w:pPr>
      <w:r w:rsidRPr="00CB19BF">
        <w:t>W ramach Planu Komunikacji przewidziano badania efektywności stosownych działań komunikacyjnych i towarzyszących im środków przekazu poprzez realizację kilku metod badań społecznych, ilościowych – należą do nich: badanie poziomu zadowolenia mieszkańców (badania ankietowe w terenie), badania prowadzone kwestionariuszem ankiety w technice badań audytoryjnych (przy spotkaniach z mieszkańcami, grupami docelowymi, szkoleniach, itp.), badanie ankietą w wersji elektronicznej (do pobrania na stronie internetowej LGD) oraz badanie beneficjentów środków z budżetu LSR. Zakłada się dokonywanie przeglądów efektywności w dwóch cyklach: pierwszy po okresie 2024 – 2025 i drugi po okresie 2026 – 202</w:t>
      </w:r>
      <w:r w:rsidR="00632310" w:rsidRPr="00CB19BF">
        <w:t>7</w:t>
      </w:r>
      <w:r w:rsidRPr="00CB19BF">
        <w:t xml:space="preserve">. </w:t>
      </w:r>
      <w:r w:rsidR="00C970B9" w:rsidRPr="00CB19BF">
        <w:t xml:space="preserve">Badanie efektywności obejmie osiągnięcie zaplanowanych wskaźników, poziom osiągnięcia zaplanowanych efektów, racjonalność wykorzystania budżetu. </w:t>
      </w:r>
      <w:r w:rsidRPr="00CB19BF">
        <w:t>Analiza uzyskanych wyników</w:t>
      </w:r>
      <w:r w:rsidR="00364067" w:rsidRPr="00CB19BF">
        <w:t xml:space="preserve"> (w tym min. ewentualne </w:t>
      </w:r>
      <w:r w:rsidRPr="00CB19BF">
        <w:t xml:space="preserve"> </w:t>
      </w:r>
      <w:r w:rsidR="00364067" w:rsidRPr="00CB19BF">
        <w:t xml:space="preserve">stwierdzenia niskiego poparcia społecznego dla działań realizowanych przez LGD) </w:t>
      </w:r>
      <w:r w:rsidRPr="00CB19BF">
        <w:t xml:space="preserve">pozwoli zweryfikować jakość, skuteczność prowadzonych działań komunikacyjnych i może przyczynić się do weryfikacji Planu Komunikacji (jeśli zajdzie taka potrzeba).  Biuro LGD na koniec każdego cyklu przygotuje raport, na który będą się składały wszystkie elementy wchodzące w skład planu komunikacji z wartościami poszczególnych wskaźników i efektów: zaplanowanych do osiągnięcia i osiągniętych w badanym okresie. Raport, z ewentualną procedurą korekty planu komunikacji będzie zatwierdzany przez Zarząd LGD i </w:t>
      </w:r>
      <w:r w:rsidR="00632310" w:rsidRPr="00CB19BF">
        <w:t>przekazany</w:t>
      </w:r>
      <w:r w:rsidRPr="00CB19BF">
        <w:t xml:space="preserve"> pracownikom Biura LGD do wdrożenia.</w:t>
      </w:r>
      <w:r w:rsidR="00632310" w:rsidRPr="00CB19BF">
        <w:t xml:space="preserve"> Proponowane zmiany tak jak w przypadku każdej aktualizacji LSR podlegają konsultacjom z lokalną społecznością poprzez stronę internetową.</w:t>
      </w:r>
    </w:p>
    <w:p w:rsidR="002A79A8" w:rsidRPr="00CB19BF" w:rsidRDefault="002A79A8" w:rsidP="00632310">
      <w:pPr>
        <w:spacing w:after="0" w:line="276" w:lineRule="auto"/>
        <w:jc w:val="both"/>
      </w:pPr>
    </w:p>
    <w:p w:rsidR="002A79A8" w:rsidRPr="00CB19BF" w:rsidRDefault="002A79A8" w:rsidP="002A79A8">
      <w:pPr>
        <w:spacing w:after="0" w:line="276" w:lineRule="auto"/>
        <w:jc w:val="both"/>
      </w:pPr>
      <w:r w:rsidRPr="00CB19BF">
        <w:t>Szczegółowy plan komunikacji zawierający opis działań komunikacyjnych, grupy docelowe, stosowane</w:t>
      </w:r>
      <w:r w:rsidR="000B60A6" w:rsidRPr="00CB19BF">
        <w:t xml:space="preserve"> </w:t>
      </w:r>
      <w:r w:rsidRPr="00CB19BF">
        <w:t xml:space="preserve">metody, środki i narzędzia komunikacji oraz harmonogram działań komunikacyjnych, został zaprezentowany w formie załącznika. </w:t>
      </w:r>
    </w:p>
    <w:p w:rsidR="002A79A8" w:rsidRPr="00CB19BF" w:rsidRDefault="002A79A8" w:rsidP="00632310">
      <w:pPr>
        <w:spacing w:after="0" w:line="276" w:lineRule="auto"/>
        <w:jc w:val="both"/>
      </w:pPr>
    </w:p>
    <w:p w:rsidR="00670E70" w:rsidRPr="00CB19BF" w:rsidRDefault="002C1CED" w:rsidP="00632310">
      <w:pPr>
        <w:spacing w:after="0" w:line="276" w:lineRule="auto"/>
        <w:jc w:val="both"/>
        <w:rPr>
          <w:b/>
          <w:bCs/>
        </w:rPr>
      </w:pPr>
      <w:r w:rsidRPr="00CB19BF">
        <w:rPr>
          <w:b/>
          <w:bCs/>
        </w:rPr>
        <w:t>Harmonogram Planu Komunikacj</w:t>
      </w:r>
      <w:r w:rsidR="009C422D" w:rsidRPr="00CB19BF">
        <w:rPr>
          <w:b/>
          <w:bCs/>
        </w:rPr>
        <w:t>i</w:t>
      </w:r>
    </w:p>
    <w:p w:rsidR="009C422D" w:rsidRPr="00CB19BF" w:rsidRDefault="009C422D" w:rsidP="002C1CED">
      <w:pPr>
        <w:jc w:val="center"/>
        <w:rPr>
          <w:rFonts w:cstheme="minorHAnsi"/>
          <w:b/>
          <w:bCs/>
        </w:rPr>
        <w:sectPr w:rsidR="009C422D" w:rsidRPr="00CB19BF" w:rsidSect="009C422D">
          <w:pgSz w:w="11906" w:h="16838"/>
          <w:pgMar w:top="851" w:right="851" w:bottom="851" w:left="851" w:header="709" w:footer="709" w:gutter="0"/>
          <w:cols w:space="708"/>
          <w:docGrid w:linePitch="360"/>
        </w:sectPr>
      </w:pPr>
    </w:p>
    <w:tbl>
      <w:tblPr>
        <w:tblStyle w:val="Tabela-Siatka1"/>
        <w:tblpPr w:leftFromText="141" w:rightFromText="141" w:vertAnchor="page" w:horzAnchor="margin" w:tblpXSpec="center" w:tblpY="1126"/>
        <w:tblW w:w="16160" w:type="dxa"/>
        <w:tblBorders>
          <w:top w:val="double" w:sz="4" w:space="0" w:color="17365D"/>
          <w:left w:val="double" w:sz="4" w:space="0" w:color="17365D"/>
          <w:bottom w:val="double" w:sz="4" w:space="0" w:color="17365D"/>
          <w:right w:val="double" w:sz="4" w:space="0" w:color="17365D"/>
          <w:insideH w:val="double" w:sz="4" w:space="0" w:color="17365D"/>
          <w:insideV w:val="double" w:sz="4" w:space="0" w:color="17365D"/>
        </w:tblBorders>
        <w:tblLayout w:type="fixed"/>
        <w:tblLook w:val="04A0" w:firstRow="1" w:lastRow="0" w:firstColumn="1" w:lastColumn="0" w:noHBand="0" w:noVBand="1"/>
      </w:tblPr>
      <w:tblGrid>
        <w:gridCol w:w="1261"/>
        <w:gridCol w:w="2709"/>
        <w:gridCol w:w="1843"/>
        <w:gridCol w:w="1984"/>
        <w:gridCol w:w="2552"/>
        <w:gridCol w:w="2409"/>
        <w:gridCol w:w="1276"/>
        <w:gridCol w:w="2126"/>
      </w:tblGrid>
      <w:tr w:rsidR="001C7A37" w:rsidRPr="00CB19BF" w:rsidTr="003C752F">
        <w:trPr>
          <w:trHeight w:val="140"/>
        </w:trPr>
        <w:tc>
          <w:tcPr>
            <w:tcW w:w="1261" w:type="dxa"/>
            <w:shd w:val="clear" w:color="auto" w:fill="F7CAAC" w:themeFill="accent2" w:themeFillTint="66"/>
            <w:vAlign w:val="center"/>
          </w:tcPr>
          <w:p w:rsidR="001C7A37" w:rsidRPr="00CB19BF" w:rsidRDefault="001C7A37" w:rsidP="002C1CED">
            <w:pPr>
              <w:jc w:val="center"/>
              <w:rPr>
                <w:rFonts w:asciiTheme="minorHAnsi" w:hAnsiTheme="minorHAnsi" w:cstheme="minorHAnsi"/>
                <w:b/>
              </w:rPr>
            </w:pPr>
            <w:r w:rsidRPr="00CB19BF">
              <w:rPr>
                <w:rFonts w:asciiTheme="minorHAnsi" w:hAnsiTheme="minorHAnsi" w:cstheme="minorHAnsi"/>
                <w:b/>
              </w:rPr>
              <w:lastRenderedPageBreak/>
              <w:t>Termin</w:t>
            </w:r>
          </w:p>
        </w:tc>
        <w:tc>
          <w:tcPr>
            <w:tcW w:w="2709" w:type="dxa"/>
            <w:shd w:val="clear" w:color="auto" w:fill="F7CAAC" w:themeFill="accent2" w:themeFillTint="66"/>
            <w:vAlign w:val="center"/>
          </w:tcPr>
          <w:p w:rsidR="001C7A37" w:rsidRPr="00CB19BF" w:rsidRDefault="001C7A37" w:rsidP="002C1CED">
            <w:pPr>
              <w:jc w:val="center"/>
              <w:rPr>
                <w:rFonts w:asciiTheme="minorHAnsi" w:eastAsia="Calibri" w:hAnsiTheme="minorHAnsi" w:cstheme="minorHAnsi"/>
                <w:b/>
                <w:lang w:eastAsia="pl-PL"/>
              </w:rPr>
            </w:pPr>
            <w:bookmarkStart w:id="1" w:name="_Hlk136258017"/>
            <w:r w:rsidRPr="00CB19BF">
              <w:rPr>
                <w:rFonts w:asciiTheme="minorHAnsi" w:hAnsiTheme="minorHAnsi" w:cstheme="minorHAnsi"/>
                <w:b/>
              </w:rPr>
              <w:t>Cel komunikacji</w:t>
            </w:r>
          </w:p>
        </w:tc>
        <w:tc>
          <w:tcPr>
            <w:tcW w:w="1843" w:type="dxa"/>
            <w:shd w:val="clear" w:color="auto" w:fill="F7CAAC" w:themeFill="accent2" w:themeFillTint="66"/>
            <w:vAlign w:val="center"/>
          </w:tcPr>
          <w:p w:rsidR="001C7A37" w:rsidRPr="00CB19BF" w:rsidRDefault="001C7A37" w:rsidP="002C1CED">
            <w:pPr>
              <w:jc w:val="center"/>
              <w:rPr>
                <w:rFonts w:asciiTheme="minorHAnsi" w:eastAsia="Calibri" w:hAnsiTheme="minorHAnsi" w:cstheme="minorHAnsi"/>
                <w:b/>
                <w:lang w:eastAsia="pl-PL"/>
              </w:rPr>
            </w:pPr>
            <w:r w:rsidRPr="00CB19BF">
              <w:rPr>
                <w:rFonts w:asciiTheme="minorHAnsi" w:hAnsiTheme="minorHAnsi" w:cstheme="minorHAnsi"/>
                <w:b/>
              </w:rPr>
              <w:t xml:space="preserve">Nazwa działania </w:t>
            </w:r>
            <w:proofErr w:type="spellStart"/>
            <w:r w:rsidRPr="00CB19BF">
              <w:rPr>
                <w:rFonts w:asciiTheme="minorHAnsi" w:hAnsiTheme="minorHAnsi" w:cstheme="minorHAnsi"/>
                <w:b/>
              </w:rPr>
              <w:t>komunikacyjne-go</w:t>
            </w:r>
            <w:proofErr w:type="spellEnd"/>
          </w:p>
        </w:tc>
        <w:tc>
          <w:tcPr>
            <w:tcW w:w="1984" w:type="dxa"/>
            <w:shd w:val="clear" w:color="auto" w:fill="F7CAAC" w:themeFill="accent2" w:themeFillTint="66"/>
            <w:vAlign w:val="center"/>
          </w:tcPr>
          <w:p w:rsidR="001C7A37" w:rsidRPr="00CB19BF" w:rsidRDefault="001C7A37" w:rsidP="002C1CED">
            <w:pPr>
              <w:jc w:val="center"/>
              <w:rPr>
                <w:rFonts w:asciiTheme="minorHAnsi" w:eastAsia="Calibri" w:hAnsiTheme="minorHAnsi" w:cstheme="minorHAnsi"/>
                <w:b/>
                <w:lang w:eastAsia="pl-PL"/>
              </w:rPr>
            </w:pPr>
            <w:r w:rsidRPr="00CB19BF">
              <w:rPr>
                <w:rFonts w:asciiTheme="minorHAnsi" w:hAnsiTheme="minorHAnsi" w:cstheme="minorHAnsi"/>
                <w:b/>
              </w:rPr>
              <w:t>Adresaci działania komunikacyjnego (grupy docelowe)</w:t>
            </w:r>
          </w:p>
        </w:tc>
        <w:tc>
          <w:tcPr>
            <w:tcW w:w="2552" w:type="dxa"/>
            <w:shd w:val="clear" w:color="auto" w:fill="F7CAAC" w:themeFill="accent2" w:themeFillTint="66"/>
            <w:vAlign w:val="center"/>
          </w:tcPr>
          <w:p w:rsidR="001C7A37" w:rsidRPr="00CB19BF" w:rsidRDefault="001C7A37" w:rsidP="002C1CED">
            <w:pPr>
              <w:jc w:val="center"/>
              <w:rPr>
                <w:rFonts w:asciiTheme="minorHAnsi" w:eastAsia="Calibri" w:hAnsiTheme="minorHAnsi" w:cstheme="minorHAnsi"/>
                <w:b/>
                <w:lang w:eastAsia="pl-PL"/>
              </w:rPr>
            </w:pPr>
            <w:r w:rsidRPr="00CB19BF">
              <w:rPr>
                <w:rFonts w:asciiTheme="minorHAnsi" w:hAnsiTheme="minorHAnsi" w:cstheme="minorHAnsi"/>
                <w:b/>
              </w:rPr>
              <w:t>Narzędzia i środki przekazu</w:t>
            </w:r>
          </w:p>
        </w:tc>
        <w:tc>
          <w:tcPr>
            <w:tcW w:w="2409" w:type="dxa"/>
            <w:shd w:val="clear" w:color="auto" w:fill="F7CAAC" w:themeFill="accent2" w:themeFillTint="66"/>
            <w:vAlign w:val="center"/>
          </w:tcPr>
          <w:p w:rsidR="001C7A37" w:rsidRPr="00CB19BF" w:rsidRDefault="001C7A37" w:rsidP="002C1CED">
            <w:pPr>
              <w:jc w:val="center"/>
              <w:rPr>
                <w:rFonts w:asciiTheme="minorHAnsi" w:eastAsia="Calibri" w:hAnsiTheme="minorHAnsi" w:cstheme="minorHAnsi"/>
                <w:b/>
                <w:lang w:eastAsia="pl-PL"/>
              </w:rPr>
            </w:pPr>
            <w:r w:rsidRPr="00CB19BF">
              <w:rPr>
                <w:rFonts w:asciiTheme="minorHAnsi" w:hAnsiTheme="minorHAnsi" w:cstheme="minorHAnsi"/>
                <w:b/>
              </w:rPr>
              <w:t>Zakładane wskaźniki realizacji działania oraz efekty tych działań</w:t>
            </w:r>
          </w:p>
        </w:tc>
        <w:tc>
          <w:tcPr>
            <w:tcW w:w="1276" w:type="dxa"/>
            <w:shd w:val="clear" w:color="auto" w:fill="F7CAAC" w:themeFill="accent2" w:themeFillTint="66"/>
            <w:vAlign w:val="center"/>
          </w:tcPr>
          <w:p w:rsidR="001C7A37" w:rsidRPr="00CB19BF" w:rsidRDefault="001C7A37" w:rsidP="002C1CED">
            <w:pPr>
              <w:jc w:val="center"/>
              <w:rPr>
                <w:rFonts w:asciiTheme="minorHAnsi" w:hAnsiTheme="minorHAnsi" w:cstheme="minorHAnsi"/>
                <w:b/>
              </w:rPr>
            </w:pPr>
            <w:r w:rsidRPr="00CB19BF">
              <w:rPr>
                <w:rFonts w:asciiTheme="minorHAnsi" w:hAnsiTheme="minorHAnsi" w:cstheme="minorHAnsi"/>
                <w:b/>
              </w:rPr>
              <w:t xml:space="preserve">Budżet – ze </w:t>
            </w:r>
            <w:proofErr w:type="spellStart"/>
            <w:r w:rsidRPr="00CB19BF">
              <w:rPr>
                <w:rFonts w:asciiTheme="minorHAnsi" w:hAnsiTheme="minorHAnsi" w:cstheme="minorHAnsi"/>
                <w:b/>
              </w:rPr>
              <w:t>wskaza-niem</w:t>
            </w:r>
            <w:proofErr w:type="spellEnd"/>
            <w:r w:rsidRPr="00CB19BF">
              <w:rPr>
                <w:rFonts w:asciiTheme="minorHAnsi" w:hAnsiTheme="minorHAnsi" w:cstheme="minorHAnsi"/>
                <w:b/>
              </w:rPr>
              <w:t xml:space="preserve"> źródła finansowania</w:t>
            </w:r>
          </w:p>
        </w:tc>
        <w:tc>
          <w:tcPr>
            <w:tcW w:w="2126" w:type="dxa"/>
            <w:shd w:val="clear" w:color="auto" w:fill="F7CAAC" w:themeFill="accent2" w:themeFillTint="66"/>
            <w:vAlign w:val="center"/>
          </w:tcPr>
          <w:p w:rsidR="001C7A37" w:rsidRPr="00CB19BF" w:rsidRDefault="001C7A37" w:rsidP="002C1CED">
            <w:pPr>
              <w:jc w:val="center"/>
              <w:rPr>
                <w:rFonts w:asciiTheme="minorHAnsi" w:eastAsia="Calibri" w:hAnsiTheme="minorHAnsi" w:cstheme="minorHAnsi"/>
                <w:b/>
                <w:lang w:eastAsia="pl-PL"/>
              </w:rPr>
            </w:pPr>
            <w:r w:rsidRPr="00CB19BF">
              <w:rPr>
                <w:rFonts w:asciiTheme="minorHAnsi" w:hAnsiTheme="minorHAnsi" w:cstheme="minorHAnsi"/>
                <w:b/>
              </w:rPr>
              <w:t>Badanie efektywności działań komunikacyjnych</w:t>
            </w:r>
          </w:p>
        </w:tc>
      </w:tr>
      <w:tr w:rsidR="001C7A37" w:rsidRPr="00CB19BF" w:rsidTr="001C7A37">
        <w:trPr>
          <w:trHeight w:val="140"/>
        </w:trPr>
        <w:tc>
          <w:tcPr>
            <w:tcW w:w="1261" w:type="dxa"/>
          </w:tcPr>
          <w:p w:rsidR="001C7A37" w:rsidRPr="00CB19BF" w:rsidRDefault="00DB198C"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2023-2027</w:t>
            </w:r>
          </w:p>
        </w:tc>
        <w:bookmarkEnd w:id="1"/>
        <w:tc>
          <w:tcPr>
            <w:tcW w:w="2709" w:type="dxa"/>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 xml:space="preserve">Poinformowanie potencjalnych wnioskodawców </w:t>
            </w:r>
            <w:r w:rsidRPr="00CB19BF">
              <w:rPr>
                <w:rFonts w:asciiTheme="minorHAnsi" w:eastAsia="Calibri" w:hAnsiTheme="minorHAnsi" w:cstheme="minorHAnsi"/>
                <w:lang w:eastAsia="pl-PL"/>
              </w:rPr>
              <w:br/>
              <w:t xml:space="preserve">o konieczności </w:t>
            </w:r>
            <w:r w:rsidRPr="00CB19BF">
              <w:rPr>
                <w:rFonts w:asciiTheme="minorHAnsi" w:hAnsiTheme="minorHAnsi" w:cstheme="minorHAnsi"/>
              </w:rPr>
              <w:t xml:space="preserve"> przestrzegania </w:t>
            </w:r>
            <w:r w:rsidRPr="00CB19BF">
              <w:rPr>
                <w:rFonts w:asciiTheme="minorHAnsi" w:eastAsia="Calibri" w:hAnsiTheme="minorHAnsi" w:cstheme="minorHAnsi"/>
                <w:lang w:eastAsia="pl-PL"/>
              </w:rPr>
              <w:t xml:space="preserve">obowiązków komunikacyjnych </w:t>
            </w:r>
            <w:r w:rsidRPr="00CB19BF">
              <w:rPr>
                <w:rFonts w:asciiTheme="minorHAnsi" w:hAnsiTheme="minorHAnsi" w:cstheme="minorHAnsi"/>
              </w:rPr>
              <w:t xml:space="preserve"> </w:t>
            </w:r>
            <w:r w:rsidRPr="00CB19BF">
              <w:rPr>
                <w:rFonts w:asciiTheme="minorHAnsi" w:eastAsia="Calibri" w:hAnsiTheme="minorHAnsi" w:cstheme="minorHAnsi"/>
                <w:lang w:eastAsia="pl-PL"/>
              </w:rPr>
              <w:t xml:space="preserve">wynikających z art. 50 ust. 1 rozporządzenia UE 2021/1060 oraz zasad komunikacji, zgodnie </w:t>
            </w:r>
            <w:r w:rsidRPr="00CB19BF">
              <w:rPr>
                <w:rFonts w:asciiTheme="minorHAnsi" w:eastAsia="Calibri" w:hAnsiTheme="minorHAnsi" w:cstheme="minorHAnsi"/>
                <w:lang w:eastAsia="pl-PL"/>
              </w:rPr>
              <w:br/>
              <w:t>z informacjami przekazanymi LGD przez  IZ oraz księgą wizualizacji w zakresie PS WPR</w:t>
            </w:r>
          </w:p>
        </w:tc>
        <w:tc>
          <w:tcPr>
            <w:tcW w:w="1843" w:type="dxa"/>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Kampania informacyjna dotycząca obowiązków komunikacyjnych beneficjentów EFSI</w:t>
            </w:r>
          </w:p>
        </w:tc>
        <w:tc>
          <w:tcPr>
            <w:tcW w:w="1984" w:type="dxa"/>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Wszyscy potencjalni wnioskodawcy,</w:t>
            </w:r>
          </w:p>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 xml:space="preserve">w szczególności </w:t>
            </w:r>
            <w:r w:rsidR="009C422D" w:rsidRPr="00CB19BF">
              <w:rPr>
                <w:rFonts w:asciiTheme="minorHAnsi" w:eastAsia="Calibri" w:hAnsiTheme="minorHAnsi" w:cstheme="minorHAnsi"/>
                <w:lang w:eastAsia="pl-PL"/>
              </w:rPr>
              <w:t xml:space="preserve"> grupy osób w niekorzystnej sytuacji, jednostki samorządu terytorialnego i ich jednostki, </w:t>
            </w:r>
            <w:r w:rsidRPr="00CB19BF">
              <w:rPr>
                <w:rFonts w:asciiTheme="minorHAnsi" w:eastAsia="Calibri" w:hAnsiTheme="minorHAnsi" w:cstheme="minorHAnsi"/>
                <w:lang w:eastAsia="pl-PL"/>
              </w:rPr>
              <w:t>rolnicy, przedsiębiorcy, organizacje pozarządowe</w:t>
            </w:r>
          </w:p>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i mieszkańcy obszaru</w:t>
            </w:r>
          </w:p>
        </w:tc>
        <w:tc>
          <w:tcPr>
            <w:tcW w:w="2552" w:type="dxa"/>
          </w:tcPr>
          <w:p w:rsidR="001C7A37" w:rsidRPr="00CB19BF" w:rsidRDefault="001C7A37" w:rsidP="002C1CED">
            <w:pPr>
              <w:rPr>
                <w:rFonts w:asciiTheme="minorHAnsi" w:eastAsia="Calibri" w:hAnsiTheme="minorHAnsi" w:cstheme="minorHAnsi"/>
                <w:b/>
                <w:lang w:eastAsia="pl-PL"/>
              </w:rPr>
            </w:pPr>
            <w:r w:rsidRPr="00CB19BF">
              <w:rPr>
                <w:rFonts w:asciiTheme="minorHAnsi" w:hAnsiTheme="minorHAnsi" w:cstheme="minorHAnsi"/>
                <w:lang w:eastAsia="pl-PL"/>
              </w:rPr>
              <w:t>- Informacje na oficjalnej stronie internetowej LGD</w:t>
            </w:r>
          </w:p>
        </w:tc>
        <w:tc>
          <w:tcPr>
            <w:tcW w:w="2409" w:type="dxa"/>
          </w:tcPr>
          <w:p w:rsidR="001C7A37" w:rsidRPr="00CB19BF" w:rsidRDefault="001C7A37" w:rsidP="002C1CED">
            <w:pPr>
              <w:rPr>
                <w:rFonts w:asciiTheme="minorHAnsi" w:eastAsia="Calibri" w:hAnsiTheme="minorHAnsi" w:cstheme="minorHAnsi"/>
                <w:u w:val="single"/>
                <w:lang w:eastAsia="pl-PL"/>
              </w:rPr>
            </w:pPr>
            <w:r w:rsidRPr="00CB19BF">
              <w:rPr>
                <w:rFonts w:asciiTheme="minorHAnsi" w:eastAsia="Calibri" w:hAnsiTheme="minorHAnsi" w:cstheme="minorHAnsi"/>
                <w:u w:val="single"/>
                <w:lang w:eastAsia="pl-PL"/>
              </w:rPr>
              <w:t>Wskaźnik:</w:t>
            </w:r>
          </w:p>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Artykuł zamieszczony na stronie LGD (ilość:1), aktualizowany niezwłocznie w przypadku zmiany przepisów dotyczących obowiązków komunikacyjnych</w:t>
            </w:r>
          </w:p>
          <w:p w:rsidR="001C7A37" w:rsidRPr="00CB19BF" w:rsidRDefault="001C7A37" w:rsidP="002C1CED">
            <w:pPr>
              <w:rPr>
                <w:rFonts w:asciiTheme="minorHAnsi" w:eastAsia="Calibri" w:hAnsiTheme="minorHAnsi" w:cstheme="minorHAnsi"/>
                <w:lang w:eastAsia="pl-PL"/>
              </w:rPr>
            </w:pPr>
          </w:p>
          <w:p w:rsidR="001C7A37" w:rsidRPr="00CB19BF" w:rsidRDefault="001C7A37" w:rsidP="002C1CED">
            <w:pPr>
              <w:rPr>
                <w:rFonts w:asciiTheme="minorHAnsi" w:eastAsia="Calibri" w:hAnsiTheme="minorHAnsi" w:cstheme="minorHAnsi"/>
                <w:u w:val="single"/>
                <w:lang w:eastAsia="pl-PL"/>
              </w:rPr>
            </w:pPr>
            <w:r w:rsidRPr="00CB19BF">
              <w:rPr>
                <w:rFonts w:asciiTheme="minorHAnsi" w:eastAsia="Calibri" w:hAnsiTheme="minorHAnsi" w:cstheme="minorHAnsi"/>
                <w:u w:val="single"/>
                <w:lang w:eastAsia="pl-PL"/>
              </w:rPr>
              <w:t>Efekt:</w:t>
            </w:r>
          </w:p>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Poinformowanie potencjalnych wnioskodawców o obowiązkach komunikacyjnych beneficjentów EFSI</w:t>
            </w:r>
          </w:p>
        </w:tc>
        <w:tc>
          <w:tcPr>
            <w:tcW w:w="1276" w:type="dxa"/>
          </w:tcPr>
          <w:p w:rsidR="001C7A37" w:rsidRPr="00CB19BF" w:rsidRDefault="001C7A37" w:rsidP="002C1CED">
            <w:pPr>
              <w:ind w:left="34"/>
              <w:jc w:val="center"/>
              <w:rPr>
                <w:rFonts w:asciiTheme="minorHAnsi" w:eastAsia="Calibri" w:hAnsiTheme="minorHAnsi" w:cstheme="minorHAnsi"/>
                <w:lang w:eastAsia="pl-PL"/>
              </w:rPr>
            </w:pPr>
            <w:r w:rsidRPr="00CB19BF">
              <w:rPr>
                <w:rFonts w:asciiTheme="minorHAnsi" w:eastAsia="Calibri" w:hAnsiTheme="minorHAnsi" w:cstheme="minorHAnsi"/>
                <w:lang w:eastAsia="pl-PL"/>
              </w:rPr>
              <w:t>0,00 zł</w:t>
            </w:r>
          </w:p>
        </w:tc>
        <w:tc>
          <w:tcPr>
            <w:tcW w:w="2126" w:type="dxa"/>
          </w:tcPr>
          <w:p w:rsidR="001C7A37" w:rsidRPr="00CB19BF" w:rsidRDefault="001C7A37" w:rsidP="002C1CED">
            <w:pPr>
              <w:ind w:left="34"/>
              <w:rPr>
                <w:rFonts w:asciiTheme="minorHAnsi" w:eastAsia="Calibri" w:hAnsiTheme="minorHAnsi" w:cstheme="minorHAnsi"/>
                <w:lang w:eastAsia="pl-PL"/>
              </w:rPr>
            </w:pPr>
            <w:r w:rsidRPr="00CB19BF">
              <w:rPr>
                <w:rFonts w:asciiTheme="minorHAnsi" w:eastAsia="Calibri" w:hAnsiTheme="minorHAnsi" w:cstheme="minorHAnsi"/>
                <w:lang w:eastAsia="pl-PL"/>
              </w:rPr>
              <w:t>Monitoring oglądalności strony LGD</w:t>
            </w:r>
          </w:p>
        </w:tc>
      </w:tr>
      <w:tr w:rsidR="001C7A37" w:rsidRPr="00CB19BF" w:rsidTr="001C7A37">
        <w:trPr>
          <w:trHeight w:val="140"/>
        </w:trPr>
        <w:tc>
          <w:tcPr>
            <w:tcW w:w="1261" w:type="dxa"/>
            <w:shd w:val="clear" w:color="auto" w:fill="F2F2F2" w:themeFill="background1" w:themeFillShade="F2"/>
          </w:tcPr>
          <w:p w:rsidR="001C7A37" w:rsidRPr="00CB19BF" w:rsidRDefault="00DB198C" w:rsidP="002C1CED">
            <w:pPr>
              <w:rPr>
                <w:rFonts w:asciiTheme="minorHAnsi" w:hAnsiTheme="minorHAnsi" w:cstheme="minorHAnsi"/>
              </w:rPr>
            </w:pPr>
            <w:r w:rsidRPr="00CB19BF">
              <w:rPr>
                <w:rFonts w:asciiTheme="minorHAnsi" w:hAnsiTheme="minorHAnsi" w:cstheme="minorHAnsi"/>
              </w:rPr>
              <w:t>2024-2027</w:t>
            </w:r>
          </w:p>
        </w:tc>
        <w:tc>
          <w:tcPr>
            <w:tcW w:w="2709" w:type="dxa"/>
            <w:shd w:val="clear" w:color="auto" w:fill="F2F2F2" w:themeFill="background1" w:themeFillShade="F2"/>
          </w:tcPr>
          <w:p w:rsidR="001C7A37" w:rsidRPr="00CB19BF" w:rsidRDefault="001C7A37" w:rsidP="002C1CED">
            <w:pPr>
              <w:rPr>
                <w:rFonts w:asciiTheme="minorHAnsi" w:hAnsiTheme="minorHAnsi" w:cstheme="minorHAnsi"/>
              </w:rPr>
            </w:pPr>
            <w:r w:rsidRPr="00CB19BF">
              <w:rPr>
                <w:rFonts w:asciiTheme="minorHAnsi" w:hAnsiTheme="minorHAnsi" w:cstheme="minorHAnsi"/>
              </w:rPr>
              <w:t>Poinformowanie potencjalnych wnioskodawców</w:t>
            </w:r>
            <w:r w:rsidRPr="00CB19BF">
              <w:rPr>
                <w:rFonts w:asciiTheme="minorHAnsi" w:hAnsiTheme="minorHAnsi" w:cstheme="minorHAnsi"/>
              </w:rPr>
              <w:br/>
              <w:t xml:space="preserve"> o LGD i  LSR  (głównych celach, zasadach przyznawania dofinansowania oraz stosowanych procedurach)</w:t>
            </w:r>
          </w:p>
        </w:tc>
        <w:tc>
          <w:tcPr>
            <w:tcW w:w="1843" w:type="dxa"/>
            <w:shd w:val="clear" w:color="auto" w:fill="F2F2F2" w:themeFill="background1" w:themeFillShade="F2"/>
          </w:tcPr>
          <w:p w:rsidR="001C7A37" w:rsidRPr="00CB19BF" w:rsidRDefault="001C7A37" w:rsidP="002C1CED">
            <w:pPr>
              <w:rPr>
                <w:rFonts w:asciiTheme="minorHAnsi" w:hAnsiTheme="minorHAnsi" w:cstheme="minorHAnsi"/>
                <w:lang w:eastAsia="pl-PL"/>
              </w:rPr>
            </w:pPr>
            <w:r w:rsidRPr="00CB19BF">
              <w:rPr>
                <w:rFonts w:asciiTheme="minorHAnsi" w:hAnsiTheme="minorHAnsi" w:cstheme="minorHAnsi"/>
                <w:lang w:eastAsia="pl-PL"/>
              </w:rPr>
              <w:t>Kampania informacyjna</w:t>
            </w:r>
          </w:p>
          <w:p w:rsidR="001C7A37" w:rsidRPr="00CB19BF" w:rsidRDefault="001C7A37" w:rsidP="002C1CED">
            <w:pPr>
              <w:rPr>
                <w:rFonts w:asciiTheme="minorHAnsi" w:hAnsiTheme="minorHAnsi" w:cstheme="minorHAnsi"/>
                <w:lang w:eastAsia="pl-PL"/>
              </w:rPr>
            </w:pPr>
            <w:r w:rsidRPr="00CB19BF">
              <w:rPr>
                <w:rFonts w:asciiTheme="minorHAnsi" w:hAnsiTheme="minorHAnsi" w:cstheme="minorHAnsi"/>
                <w:lang w:eastAsia="pl-PL"/>
              </w:rPr>
              <w:t>na temat głównych</w:t>
            </w:r>
          </w:p>
          <w:p w:rsidR="001C7A37" w:rsidRPr="00CB19BF" w:rsidRDefault="001C7A37" w:rsidP="002C1CED">
            <w:pPr>
              <w:rPr>
                <w:rFonts w:asciiTheme="minorHAnsi" w:hAnsiTheme="minorHAnsi" w:cstheme="minorHAnsi"/>
                <w:lang w:eastAsia="pl-PL"/>
              </w:rPr>
            </w:pPr>
            <w:r w:rsidRPr="00CB19BF">
              <w:rPr>
                <w:rFonts w:asciiTheme="minorHAnsi" w:hAnsiTheme="minorHAnsi" w:cstheme="minorHAnsi"/>
                <w:lang w:eastAsia="pl-PL"/>
              </w:rPr>
              <w:t>założeń LSR</w:t>
            </w:r>
          </w:p>
        </w:tc>
        <w:tc>
          <w:tcPr>
            <w:tcW w:w="1984" w:type="dxa"/>
            <w:shd w:val="clear" w:color="auto" w:fill="F2F2F2" w:themeFill="background1" w:themeFillShade="F2"/>
          </w:tcPr>
          <w:p w:rsidR="009C422D" w:rsidRPr="00CB19BF" w:rsidRDefault="009C422D" w:rsidP="009C422D">
            <w:pPr>
              <w:rPr>
                <w:rFonts w:cstheme="minorHAnsi"/>
              </w:rPr>
            </w:pPr>
            <w:r w:rsidRPr="00CB19BF">
              <w:rPr>
                <w:rFonts w:cstheme="minorHAnsi"/>
              </w:rPr>
              <w:t>Wszyscy potencjalni wnioskodawcy,</w:t>
            </w:r>
          </w:p>
          <w:p w:rsidR="009C422D" w:rsidRPr="00CB19BF" w:rsidRDefault="009C422D" w:rsidP="009C422D">
            <w:pPr>
              <w:rPr>
                <w:rFonts w:cstheme="minorHAnsi"/>
              </w:rPr>
            </w:pPr>
            <w:r w:rsidRPr="00CB19BF">
              <w:rPr>
                <w:rFonts w:cstheme="minorHAnsi"/>
              </w:rPr>
              <w:t>w szczególności  grupy osób w niekorzystnej sytuacji, jednostki samorządu terytorialnego i ich jednostki, rolnicy, przedsiębiorcy, organizacje pozarządowe</w:t>
            </w:r>
          </w:p>
          <w:p w:rsidR="001C7A37" w:rsidRPr="00CB19BF" w:rsidRDefault="009C422D" w:rsidP="009C422D">
            <w:pPr>
              <w:rPr>
                <w:rFonts w:asciiTheme="minorHAnsi" w:hAnsiTheme="minorHAnsi" w:cstheme="minorHAnsi"/>
              </w:rPr>
            </w:pPr>
            <w:r w:rsidRPr="00CB19BF">
              <w:rPr>
                <w:rFonts w:cstheme="minorHAnsi"/>
              </w:rPr>
              <w:lastRenderedPageBreak/>
              <w:t>i mieszkańcy obszaru</w:t>
            </w:r>
          </w:p>
        </w:tc>
        <w:tc>
          <w:tcPr>
            <w:tcW w:w="2552" w:type="dxa"/>
            <w:shd w:val="clear" w:color="auto" w:fill="F2F2F2" w:themeFill="background1" w:themeFillShade="F2"/>
          </w:tcPr>
          <w:p w:rsidR="001C7A37" w:rsidRPr="00CB19BF" w:rsidRDefault="001C7A37" w:rsidP="002C1CED">
            <w:pPr>
              <w:rPr>
                <w:rFonts w:asciiTheme="minorHAnsi" w:hAnsiTheme="minorHAnsi" w:cstheme="minorHAnsi"/>
              </w:rPr>
            </w:pPr>
            <w:r w:rsidRPr="00CB19BF">
              <w:rPr>
                <w:rFonts w:asciiTheme="minorHAnsi" w:hAnsiTheme="minorHAnsi" w:cstheme="minorHAnsi"/>
                <w:lang w:eastAsia="pl-PL"/>
              </w:rPr>
              <w:lastRenderedPageBreak/>
              <w:t xml:space="preserve">- Informacje na oficjalnej stronie internetowej LGD </w:t>
            </w:r>
          </w:p>
          <w:p w:rsidR="001C7A37" w:rsidRPr="00CB19BF" w:rsidRDefault="001C7A37" w:rsidP="002C1CED">
            <w:pPr>
              <w:rPr>
                <w:rFonts w:asciiTheme="minorHAnsi" w:hAnsiTheme="minorHAnsi" w:cstheme="minorHAnsi"/>
              </w:rPr>
            </w:pPr>
            <w:r w:rsidRPr="00CB19BF">
              <w:rPr>
                <w:rFonts w:asciiTheme="minorHAnsi" w:hAnsiTheme="minorHAnsi" w:cstheme="minorHAnsi"/>
                <w:lang w:eastAsia="pl-PL"/>
              </w:rPr>
              <w:t xml:space="preserve">- Mailing oraz strona internetowa gmin członkowskich </w:t>
            </w:r>
          </w:p>
          <w:p w:rsidR="001C7A37" w:rsidRPr="00CB19BF" w:rsidRDefault="001C7A37" w:rsidP="002C1CED">
            <w:pPr>
              <w:rPr>
                <w:rFonts w:asciiTheme="minorHAnsi" w:hAnsiTheme="minorHAnsi" w:cstheme="minorHAnsi"/>
              </w:rPr>
            </w:pPr>
            <w:r w:rsidRPr="00CB19BF">
              <w:rPr>
                <w:rFonts w:asciiTheme="minorHAnsi" w:hAnsiTheme="minorHAnsi" w:cstheme="minorHAnsi"/>
                <w:lang w:eastAsia="pl-PL"/>
              </w:rPr>
              <w:t xml:space="preserve">- Informacje na portalach społecznościowych - fanpage LGD oraz w mediach o zasięgu lokalnym </w:t>
            </w:r>
          </w:p>
          <w:p w:rsidR="001C7A37" w:rsidRPr="00CB19BF" w:rsidRDefault="001C7A37" w:rsidP="002C1CED">
            <w:pPr>
              <w:ind w:left="15" w:hanging="15"/>
              <w:contextualSpacing/>
              <w:rPr>
                <w:rFonts w:asciiTheme="minorHAnsi" w:hAnsiTheme="minorHAnsi" w:cstheme="minorHAnsi"/>
              </w:rPr>
            </w:pPr>
          </w:p>
        </w:tc>
        <w:tc>
          <w:tcPr>
            <w:tcW w:w="2409" w:type="dxa"/>
            <w:shd w:val="clear" w:color="auto" w:fill="F2F2F2" w:themeFill="background1" w:themeFillShade="F2"/>
          </w:tcPr>
          <w:p w:rsidR="001C7A37" w:rsidRPr="00CB19BF" w:rsidRDefault="001C7A37" w:rsidP="002C1CED">
            <w:pPr>
              <w:rPr>
                <w:rFonts w:asciiTheme="minorHAnsi" w:hAnsiTheme="minorHAnsi" w:cstheme="minorHAnsi"/>
                <w:u w:val="single"/>
                <w:lang w:eastAsia="pl-PL"/>
              </w:rPr>
            </w:pPr>
            <w:r w:rsidRPr="00CB19BF">
              <w:rPr>
                <w:rFonts w:asciiTheme="minorHAnsi" w:hAnsiTheme="minorHAnsi" w:cstheme="minorHAnsi"/>
                <w:u w:val="single"/>
                <w:lang w:eastAsia="pl-PL"/>
              </w:rPr>
              <w:t>Wskaźnik:</w:t>
            </w:r>
          </w:p>
          <w:p w:rsidR="001C7A37" w:rsidRPr="00CB19BF" w:rsidRDefault="001C7A37" w:rsidP="002C1CED">
            <w:pPr>
              <w:rPr>
                <w:rFonts w:asciiTheme="minorHAnsi" w:hAnsiTheme="minorHAnsi" w:cstheme="minorHAnsi"/>
                <w:lang w:eastAsia="pl-PL"/>
              </w:rPr>
            </w:pPr>
            <w:r w:rsidRPr="00CB19BF">
              <w:rPr>
                <w:rFonts w:asciiTheme="minorHAnsi" w:hAnsiTheme="minorHAnsi" w:cstheme="minorHAnsi"/>
                <w:lang w:eastAsia="pl-PL"/>
              </w:rPr>
              <w:t>Artykuły na stronach internetowych i portalach społecznościowych (ilość:</w:t>
            </w:r>
            <w:r w:rsidR="00851100" w:rsidRPr="00CB19BF">
              <w:rPr>
                <w:rFonts w:asciiTheme="minorHAnsi" w:hAnsiTheme="minorHAnsi" w:cstheme="minorHAnsi"/>
                <w:lang w:eastAsia="pl-PL"/>
              </w:rPr>
              <w:t>2</w:t>
            </w:r>
            <w:r w:rsidR="00DB198C" w:rsidRPr="00CB19BF">
              <w:rPr>
                <w:rFonts w:asciiTheme="minorHAnsi" w:hAnsiTheme="minorHAnsi" w:cstheme="minorHAnsi"/>
                <w:lang w:eastAsia="pl-PL"/>
              </w:rPr>
              <w:t>0</w:t>
            </w:r>
            <w:r w:rsidRPr="00CB19BF">
              <w:rPr>
                <w:rFonts w:asciiTheme="minorHAnsi" w:hAnsiTheme="minorHAnsi" w:cstheme="minorHAnsi"/>
                <w:lang w:eastAsia="pl-PL"/>
              </w:rPr>
              <w:t>)</w:t>
            </w:r>
          </w:p>
          <w:p w:rsidR="001C7A37" w:rsidRPr="00CB19BF" w:rsidRDefault="001C7A37" w:rsidP="002C1CED">
            <w:pPr>
              <w:rPr>
                <w:rFonts w:asciiTheme="minorHAnsi" w:hAnsiTheme="minorHAnsi" w:cstheme="minorHAnsi"/>
                <w:lang w:eastAsia="pl-PL"/>
              </w:rPr>
            </w:pPr>
          </w:p>
          <w:p w:rsidR="001C7A37" w:rsidRPr="00CB19BF" w:rsidRDefault="001C7A37" w:rsidP="002C1CED">
            <w:pPr>
              <w:rPr>
                <w:rFonts w:asciiTheme="minorHAnsi" w:hAnsiTheme="minorHAnsi" w:cstheme="minorHAnsi"/>
                <w:lang w:eastAsia="pl-PL"/>
              </w:rPr>
            </w:pPr>
            <w:r w:rsidRPr="00CB19BF">
              <w:rPr>
                <w:rFonts w:asciiTheme="minorHAnsi" w:hAnsiTheme="minorHAnsi" w:cstheme="minorHAnsi"/>
                <w:lang w:eastAsia="pl-PL"/>
              </w:rPr>
              <w:t>Informacje w mediach o zasięgu lokalnym (ilość:</w:t>
            </w:r>
            <w:r w:rsidR="00DB198C" w:rsidRPr="00CB19BF">
              <w:rPr>
                <w:rFonts w:asciiTheme="minorHAnsi" w:hAnsiTheme="minorHAnsi" w:cstheme="minorHAnsi"/>
                <w:lang w:eastAsia="pl-PL"/>
              </w:rPr>
              <w:t>2</w:t>
            </w:r>
            <w:r w:rsidRPr="00CB19BF">
              <w:rPr>
                <w:rFonts w:asciiTheme="minorHAnsi" w:hAnsiTheme="minorHAnsi" w:cstheme="minorHAnsi"/>
                <w:lang w:eastAsia="pl-PL"/>
              </w:rPr>
              <w:t>)</w:t>
            </w:r>
          </w:p>
          <w:p w:rsidR="001C7A37" w:rsidRPr="00CB19BF" w:rsidRDefault="001C7A37" w:rsidP="002C1CED">
            <w:pPr>
              <w:rPr>
                <w:rFonts w:asciiTheme="minorHAnsi" w:hAnsiTheme="minorHAnsi" w:cstheme="minorHAnsi"/>
                <w:lang w:eastAsia="pl-PL"/>
              </w:rPr>
            </w:pPr>
          </w:p>
          <w:p w:rsidR="001C7A37" w:rsidRPr="00CB19BF" w:rsidRDefault="001C7A37" w:rsidP="002C1CED">
            <w:pPr>
              <w:rPr>
                <w:rFonts w:asciiTheme="minorHAnsi" w:hAnsiTheme="minorHAnsi" w:cstheme="minorHAnsi"/>
                <w:lang w:eastAsia="pl-PL"/>
              </w:rPr>
            </w:pPr>
          </w:p>
          <w:p w:rsidR="001C7A37" w:rsidRPr="00CB19BF" w:rsidRDefault="001C7A37" w:rsidP="002C1CED">
            <w:pPr>
              <w:rPr>
                <w:rFonts w:asciiTheme="minorHAnsi" w:hAnsiTheme="minorHAnsi" w:cstheme="minorHAnsi"/>
                <w:u w:val="single"/>
              </w:rPr>
            </w:pPr>
            <w:r w:rsidRPr="00CB19BF">
              <w:rPr>
                <w:rFonts w:asciiTheme="minorHAnsi" w:hAnsiTheme="minorHAnsi" w:cstheme="minorHAnsi"/>
                <w:u w:val="single"/>
                <w:lang w:eastAsia="pl-PL"/>
              </w:rPr>
              <w:t>Efekt:</w:t>
            </w:r>
          </w:p>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lastRenderedPageBreak/>
              <w:t>Poinformowanie potencjalnych wnioskodawców o LGD i LSR</w:t>
            </w:r>
          </w:p>
        </w:tc>
        <w:tc>
          <w:tcPr>
            <w:tcW w:w="1276" w:type="dxa"/>
            <w:shd w:val="clear" w:color="auto" w:fill="F2F2F2" w:themeFill="background1" w:themeFillShade="F2"/>
          </w:tcPr>
          <w:p w:rsidR="001C7A37" w:rsidRPr="00CB19BF" w:rsidRDefault="00DB198C" w:rsidP="002C1CED">
            <w:pPr>
              <w:ind w:left="34"/>
              <w:jc w:val="center"/>
              <w:rPr>
                <w:rFonts w:asciiTheme="minorHAnsi" w:eastAsia="Calibri" w:hAnsiTheme="minorHAnsi" w:cstheme="minorHAnsi"/>
                <w:lang w:eastAsia="pl-PL"/>
              </w:rPr>
            </w:pPr>
            <w:r w:rsidRPr="00CB19BF">
              <w:rPr>
                <w:rFonts w:asciiTheme="minorHAnsi" w:eastAsia="Calibri" w:hAnsiTheme="minorHAnsi" w:cstheme="minorHAnsi"/>
                <w:lang w:eastAsia="pl-PL"/>
              </w:rPr>
              <w:lastRenderedPageBreak/>
              <w:t>0,00 zł</w:t>
            </w:r>
          </w:p>
          <w:p w:rsidR="00DB198C" w:rsidRPr="00CB19BF" w:rsidRDefault="00DB198C" w:rsidP="002C1CED">
            <w:pPr>
              <w:ind w:left="34"/>
              <w:jc w:val="center"/>
              <w:rPr>
                <w:rFonts w:asciiTheme="minorHAnsi" w:eastAsia="Calibri" w:hAnsiTheme="minorHAnsi" w:cstheme="minorHAnsi"/>
                <w:lang w:eastAsia="pl-PL"/>
              </w:rPr>
            </w:pPr>
          </w:p>
          <w:p w:rsidR="00DB198C" w:rsidRPr="00CB19BF" w:rsidRDefault="00DB198C" w:rsidP="002C1CED">
            <w:pPr>
              <w:ind w:left="34"/>
              <w:jc w:val="center"/>
              <w:rPr>
                <w:rFonts w:asciiTheme="minorHAnsi" w:eastAsia="Calibri" w:hAnsiTheme="minorHAnsi" w:cstheme="minorHAnsi"/>
                <w:lang w:eastAsia="pl-PL"/>
              </w:rPr>
            </w:pPr>
          </w:p>
          <w:p w:rsidR="00DB198C" w:rsidRPr="00CB19BF" w:rsidRDefault="00DB198C" w:rsidP="002C1CED">
            <w:pPr>
              <w:ind w:left="34"/>
              <w:jc w:val="center"/>
              <w:rPr>
                <w:rFonts w:asciiTheme="minorHAnsi" w:eastAsia="Calibri" w:hAnsiTheme="minorHAnsi" w:cstheme="minorHAnsi"/>
                <w:lang w:eastAsia="pl-PL"/>
              </w:rPr>
            </w:pPr>
          </w:p>
          <w:p w:rsidR="00DB198C" w:rsidRPr="00CB19BF" w:rsidRDefault="00DB198C" w:rsidP="002C1CED">
            <w:pPr>
              <w:ind w:left="34"/>
              <w:jc w:val="center"/>
              <w:rPr>
                <w:rFonts w:asciiTheme="minorHAnsi" w:eastAsia="Calibri" w:hAnsiTheme="minorHAnsi" w:cstheme="minorHAnsi"/>
                <w:lang w:eastAsia="pl-PL"/>
              </w:rPr>
            </w:pPr>
          </w:p>
          <w:p w:rsidR="00DB198C" w:rsidRPr="00CB19BF" w:rsidRDefault="00DB198C" w:rsidP="002C1CED">
            <w:pPr>
              <w:ind w:left="34"/>
              <w:jc w:val="center"/>
              <w:rPr>
                <w:rFonts w:asciiTheme="minorHAnsi" w:eastAsia="Calibri" w:hAnsiTheme="minorHAnsi" w:cstheme="minorHAnsi"/>
                <w:lang w:eastAsia="pl-PL"/>
              </w:rPr>
            </w:pPr>
          </w:p>
          <w:p w:rsidR="00DB198C" w:rsidRPr="00CB19BF" w:rsidRDefault="00DB198C" w:rsidP="002C1CED">
            <w:pPr>
              <w:ind w:left="34"/>
              <w:jc w:val="center"/>
              <w:rPr>
                <w:rFonts w:asciiTheme="minorHAnsi" w:eastAsia="Calibri" w:hAnsiTheme="minorHAnsi" w:cstheme="minorHAnsi"/>
                <w:lang w:eastAsia="pl-PL"/>
              </w:rPr>
            </w:pPr>
          </w:p>
          <w:p w:rsidR="00DB198C" w:rsidRPr="00CB19BF" w:rsidRDefault="00DB198C" w:rsidP="002C1CED">
            <w:pPr>
              <w:ind w:left="34"/>
              <w:jc w:val="center"/>
              <w:rPr>
                <w:rFonts w:asciiTheme="minorHAnsi" w:eastAsia="Calibri" w:hAnsiTheme="minorHAnsi" w:cstheme="minorHAnsi"/>
                <w:lang w:eastAsia="pl-PL"/>
              </w:rPr>
            </w:pPr>
            <w:r w:rsidRPr="00CB19BF">
              <w:rPr>
                <w:rFonts w:asciiTheme="minorHAnsi" w:eastAsia="Calibri" w:hAnsiTheme="minorHAnsi" w:cstheme="minorHAnsi"/>
                <w:lang w:eastAsia="pl-PL"/>
              </w:rPr>
              <w:t>2000,00 zł</w:t>
            </w:r>
          </w:p>
        </w:tc>
        <w:tc>
          <w:tcPr>
            <w:tcW w:w="2126" w:type="dxa"/>
            <w:shd w:val="clear" w:color="auto" w:fill="F2F2F2" w:themeFill="background1" w:themeFillShade="F2"/>
          </w:tcPr>
          <w:p w:rsidR="001C7A37" w:rsidRPr="00CB19BF" w:rsidRDefault="001C7A37" w:rsidP="002C1CED">
            <w:pPr>
              <w:ind w:left="34"/>
              <w:rPr>
                <w:rFonts w:asciiTheme="minorHAnsi" w:eastAsia="Calibri" w:hAnsiTheme="minorHAnsi" w:cstheme="minorHAnsi"/>
                <w:lang w:eastAsia="pl-PL"/>
              </w:rPr>
            </w:pPr>
            <w:r w:rsidRPr="00CB19BF">
              <w:rPr>
                <w:rFonts w:asciiTheme="minorHAnsi" w:eastAsia="Calibri" w:hAnsiTheme="minorHAnsi" w:cstheme="minorHAnsi"/>
                <w:lang w:eastAsia="pl-PL"/>
              </w:rPr>
              <w:t>Monitoring oglądalności strony LGD, ankieta prowadzona na www lub w biurze LGD badająca, skąd osoba zainteresowana pozyskała wiedzę o LGD</w:t>
            </w:r>
          </w:p>
        </w:tc>
      </w:tr>
      <w:tr w:rsidR="001C7A37" w:rsidRPr="00CB19BF" w:rsidTr="001C7A37">
        <w:trPr>
          <w:trHeight w:val="140"/>
        </w:trPr>
        <w:tc>
          <w:tcPr>
            <w:tcW w:w="1261" w:type="dxa"/>
            <w:shd w:val="clear" w:color="auto" w:fill="FFFFFF" w:themeFill="background1"/>
          </w:tcPr>
          <w:p w:rsidR="001C7A37" w:rsidRPr="00CB19BF" w:rsidRDefault="00DB198C"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2024-2027</w:t>
            </w:r>
          </w:p>
        </w:tc>
        <w:tc>
          <w:tcPr>
            <w:tcW w:w="2709" w:type="dxa"/>
            <w:shd w:val="clear" w:color="auto" w:fill="FFFFFF" w:themeFill="background1"/>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Poinformowanie potencjalnych wnioskodawców o zasadach pozyskiwania środków, kryteriach oceny używanych przez Radę i zasadach realizacji projektów</w:t>
            </w:r>
          </w:p>
        </w:tc>
        <w:tc>
          <w:tcPr>
            <w:tcW w:w="1843" w:type="dxa"/>
            <w:shd w:val="clear" w:color="auto" w:fill="FFFFFF" w:themeFill="background1"/>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 xml:space="preserve">Spotkania  </w:t>
            </w:r>
            <w:proofErr w:type="spellStart"/>
            <w:r w:rsidRPr="00CB19BF">
              <w:rPr>
                <w:rFonts w:asciiTheme="minorHAnsi" w:eastAsia="Calibri" w:hAnsiTheme="minorHAnsi" w:cstheme="minorHAnsi"/>
                <w:lang w:eastAsia="pl-PL"/>
              </w:rPr>
              <w:t>informacyjno</w:t>
            </w:r>
            <w:proofErr w:type="spellEnd"/>
            <w:r w:rsidRPr="00CB19BF">
              <w:rPr>
                <w:rFonts w:asciiTheme="minorHAnsi" w:eastAsia="Calibri" w:hAnsiTheme="minorHAnsi" w:cstheme="minorHAnsi"/>
                <w:lang w:eastAsia="pl-PL"/>
              </w:rPr>
              <w:t xml:space="preserve"> – szkoleniowe dotyczące przygotowania, realizacji i rozliczenia operacji</w:t>
            </w:r>
          </w:p>
        </w:tc>
        <w:tc>
          <w:tcPr>
            <w:tcW w:w="1984" w:type="dxa"/>
            <w:shd w:val="clear" w:color="auto" w:fill="FFFFFF" w:themeFill="background1"/>
          </w:tcPr>
          <w:p w:rsidR="009C422D" w:rsidRPr="00CB19BF" w:rsidRDefault="009C422D" w:rsidP="009C422D">
            <w:pPr>
              <w:rPr>
                <w:rFonts w:eastAsia="Calibri" w:cstheme="minorHAnsi"/>
                <w:lang w:eastAsia="pl-PL"/>
              </w:rPr>
            </w:pPr>
            <w:r w:rsidRPr="00CB19BF">
              <w:rPr>
                <w:rFonts w:eastAsia="Calibri" w:cstheme="minorHAnsi"/>
                <w:lang w:eastAsia="pl-PL"/>
              </w:rPr>
              <w:t>Wszyscy potencjalni wnioskodawcy,</w:t>
            </w:r>
          </w:p>
          <w:p w:rsidR="009C422D" w:rsidRPr="00CB19BF" w:rsidRDefault="009C422D" w:rsidP="009C422D">
            <w:pPr>
              <w:rPr>
                <w:rFonts w:eastAsia="Calibri" w:cstheme="minorHAnsi"/>
                <w:lang w:eastAsia="pl-PL"/>
              </w:rPr>
            </w:pPr>
            <w:r w:rsidRPr="00CB19BF">
              <w:rPr>
                <w:rFonts w:eastAsia="Calibri" w:cstheme="minorHAnsi"/>
                <w:lang w:eastAsia="pl-PL"/>
              </w:rPr>
              <w:t>w szczególności  grupy osób w niekorzystnej sytuacji, jednostki samorządu terytorialnego i ich jednostki, rolnicy, przedsiębiorcy, organizacje pozarządowe</w:t>
            </w:r>
          </w:p>
          <w:p w:rsidR="001C7A37" w:rsidRPr="00CB19BF" w:rsidRDefault="009C422D" w:rsidP="009C422D">
            <w:pPr>
              <w:rPr>
                <w:rFonts w:asciiTheme="minorHAnsi" w:eastAsia="Calibri" w:hAnsiTheme="minorHAnsi" w:cstheme="minorHAnsi"/>
                <w:lang w:eastAsia="pl-PL"/>
              </w:rPr>
            </w:pPr>
            <w:r w:rsidRPr="00CB19BF">
              <w:rPr>
                <w:rFonts w:eastAsia="Calibri" w:cstheme="minorHAnsi"/>
                <w:lang w:eastAsia="pl-PL"/>
              </w:rPr>
              <w:t>i mieszkańcy obszaru</w:t>
            </w:r>
          </w:p>
        </w:tc>
        <w:tc>
          <w:tcPr>
            <w:tcW w:w="2552" w:type="dxa"/>
            <w:shd w:val="clear" w:color="auto" w:fill="FFFFFF" w:themeFill="background1"/>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 Spotkania informacyjno-szkoleniowe</w:t>
            </w:r>
          </w:p>
          <w:p w:rsidR="001C7A37" w:rsidRPr="00CB19BF" w:rsidRDefault="001C7A37" w:rsidP="002C1CED">
            <w:pPr>
              <w:rPr>
                <w:rFonts w:asciiTheme="minorHAnsi" w:eastAsia="Calibri" w:hAnsiTheme="minorHAnsi" w:cstheme="minorHAnsi"/>
                <w:lang w:eastAsia="pl-PL"/>
              </w:rPr>
            </w:pPr>
          </w:p>
        </w:tc>
        <w:tc>
          <w:tcPr>
            <w:tcW w:w="2409" w:type="dxa"/>
            <w:shd w:val="clear" w:color="auto" w:fill="FFFFFF" w:themeFill="background1"/>
          </w:tcPr>
          <w:p w:rsidR="001C7A37" w:rsidRPr="00CB19BF" w:rsidRDefault="001C7A37" w:rsidP="002C1CED">
            <w:pPr>
              <w:rPr>
                <w:rFonts w:asciiTheme="minorHAnsi" w:hAnsiTheme="minorHAnsi" w:cstheme="minorHAnsi"/>
                <w:u w:val="single"/>
                <w:lang w:eastAsia="pl-PL"/>
              </w:rPr>
            </w:pPr>
            <w:r w:rsidRPr="00CB19BF">
              <w:rPr>
                <w:rFonts w:asciiTheme="minorHAnsi" w:hAnsiTheme="minorHAnsi" w:cstheme="minorHAnsi"/>
                <w:u w:val="single"/>
                <w:lang w:eastAsia="pl-PL"/>
              </w:rPr>
              <w:t>Wskaźnik:</w:t>
            </w:r>
          </w:p>
          <w:p w:rsidR="001C7A37" w:rsidRPr="00CB19BF" w:rsidRDefault="001C7A37" w:rsidP="002C1CED">
            <w:pPr>
              <w:rPr>
                <w:rFonts w:asciiTheme="minorHAnsi" w:hAnsiTheme="minorHAnsi" w:cstheme="minorHAnsi"/>
                <w:lang w:eastAsia="pl-PL"/>
              </w:rPr>
            </w:pPr>
            <w:r w:rsidRPr="00CB19BF">
              <w:rPr>
                <w:rFonts w:asciiTheme="minorHAnsi" w:hAnsiTheme="minorHAnsi" w:cstheme="minorHAnsi"/>
                <w:lang w:eastAsia="pl-PL"/>
              </w:rPr>
              <w:t xml:space="preserve">Organizacja </w:t>
            </w:r>
            <w:bookmarkStart w:id="2" w:name="_Hlk136335326"/>
            <w:r w:rsidRPr="00CB19BF">
              <w:rPr>
                <w:rFonts w:asciiTheme="minorHAnsi" w:hAnsiTheme="minorHAnsi" w:cstheme="minorHAnsi"/>
                <w:lang w:eastAsia="pl-PL"/>
              </w:rPr>
              <w:t>spotkań informacyjno-szkoleniowych</w:t>
            </w:r>
            <w:bookmarkEnd w:id="2"/>
            <w:r w:rsidRPr="00CB19BF">
              <w:rPr>
                <w:rFonts w:asciiTheme="minorHAnsi" w:hAnsiTheme="minorHAnsi" w:cstheme="minorHAnsi"/>
                <w:lang w:eastAsia="pl-PL"/>
              </w:rPr>
              <w:t xml:space="preserve"> (ilość:</w:t>
            </w:r>
            <w:r w:rsidR="009C422D" w:rsidRPr="00CB19BF">
              <w:rPr>
                <w:rFonts w:asciiTheme="minorHAnsi" w:hAnsiTheme="minorHAnsi" w:cstheme="minorHAnsi"/>
                <w:lang w:eastAsia="pl-PL"/>
              </w:rPr>
              <w:t>12</w:t>
            </w:r>
            <w:r w:rsidRPr="00CB19BF">
              <w:rPr>
                <w:rFonts w:asciiTheme="minorHAnsi" w:hAnsiTheme="minorHAnsi" w:cstheme="minorHAnsi"/>
                <w:lang w:eastAsia="pl-PL"/>
              </w:rPr>
              <w:t xml:space="preserve">), </w:t>
            </w:r>
          </w:p>
          <w:p w:rsidR="001C7A37" w:rsidRPr="00CB19BF" w:rsidRDefault="001C7A37" w:rsidP="002C1CED">
            <w:pPr>
              <w:rPr>
                <w:rFonts w:asciiTheme="minorHAnsi" w:hAnsiTheme="minorHAnsi" w:cstheme="minorHAnsi"/>
                <w:u w:val="single"/>
                <w:lang w:eastAsia="pl-PL"/>
              </w:rPr>
            </w:pPr>
            <w:r w:rsidRPr="00CB19BF">
              <w:rPr>
                <w:rFonts w:asciiTheme="minorHAnsi" w:hAnsiTheme="minorHAnsi" w:cstheme="minorHAnsi"/>
                <w:u w:val="single"/>
                <w:lang w:eastAsia="pl-PL"/>
              </w:rPr>
              <w:t>Efekt:</w:t>
            </w:r>
          </w:p>
          <w:p w:rsidR="001C7A37" w:rsidRPr="00CB19BF" w:rsidRDefault="001C7A37" w:rsidP="002C1CED">
            <w:pPr>
              <w:rPr>
                <w:rFonts w:asciiTheme="minorHAnsi" w:eastAsia="Calibri" w:hAnsiTheme="minorHAnsi" w:cstheme="minorHAnsi"/>
                <w:lang w:eastAsia="pl-PL"/>
              </w:rPr>
            </w:pPr>
            <w:r w:rsidRPr="00CB19BF">
              <w:rPr>
                <w:rFonts w:asciiTheme="minorHAnsi" w:hAnsiTheme="minorHAnsi" w:cstheme="minorHAnsi"/>
                <w:lang w:eastAsia="pl-PL"/>
              </w:rPr>
              <w:t xml:space="preserve">Podniesienie poziomu wiedzy mieszkańców </w:t>
            </w:r>
            <w:r w:rsidRPr="00CB19BF">
              <w:rPr>
                <w:rFonts w:asciiTheme="minorHAnsi" w:hAnsiTheme="minorHAnsi" w:cstheme="minorHAnsi"/>
                <w:lang w:eastAsia="pl-PL"/>
              </w:rPr>
              <w:br/>
              <w:t>w zakresie przygotowania, realizacji i rozliczenia operacji</w:t>
            </w:r>
          </w:p>
        </w:tc>
        <w:tc>
          <w:tcPr>
            <w:tcW w:w="1276" w:type="dxa"/>
            <w:shd w:val="clear" w:color="auto" w:fill="FFFFFF" w:themeFill="background1"/>
          </w:tcPr>
          <w:p w:rsidR="001C7A37" w:rsidRPr="00CB19BF" w:rsidRDefault="00DB198C"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2</w:t>
            </w:r>
            <w:r w:rsidR="009C422D" w:rsidRPr="00CB19BF">
              <w:rPr>
                <w:rFonts w:asciiTheme="minorHAnsi" w:eastAsia="Calibri" w:hAnsiTheme="minorHAnsi" w:cstheme="minorHAnsi"/>
                <w:lang w:eastAsia="pl-PL"/>
              </w:rPr>
              <w:t>4</w:t>
            </w:r>
            <w:r w:rsidRPr="00CB19BF">
              <w:rPr>
                <w:rFonts w:asciiTheme="minorHAnsi" w:eastAsia="Calibri" w:hAnsiTheme="minorHAnsi" w:cstheme="minorHAnsi"/>
                <w:lang w:eastAsia="pl-PL"/>
              </w:rPr>
              <w:t>00,00</w:t>
            </w:r>
          </w:p>
        </w:tc>
        <w:tc>
          <w:tcPr>
            <w:tcW w:w="2126" w:type="dxa"/>
            <w:shd w:val="clear" w:color="auto" w:fill="FFFFFF" w:themeFill="background1"/>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Informacja zwrotna w formie ankiety prowadzonej po spotkaniach informacyjno-szkoleniowych</w:t>
            </w:r>
          </w:p>
        </w:tc>
      </w:tr>
      <w:tr w:rsidR="001C7A37" w:rsidRPr="00CB19BF" w:rsidTr="001C7A37">
        <w:trPr>
          <w:trHeight w:val="3612"/>
        </w:trPr>
        <w:tc>
          <w:tcPr>
            <w:tcW w:w="1261" w:type="dxa"/>
          </w:tcPr>
          <w:p w:rsidR="001C7A37" w:rsidRPr="00CB19BF" w:rsidRDefault="00DB198C"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2024-2027</w:t>
            </w:r>
          </w:p>
        </w:tc>
        <w:tc>
          <w:tcPr>
            <w:tcW w:w="2709" w:type="dxa"/>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 xml:space="preserve">Wspieranie beneficjentów LSR </w:t>
            </w:r>
            <w:r w:rsidRPr="00CB19BF">
              <w:rPr>
                <w:rFonts w:asciiTheme="minorHAnsi" w:eastAsia="Calibri" w:hAnsiTheme="minorHAnsi" w:cstheme="minorHAnsi"/>
                <w:lang w:eastAsia="pl-PL"/>
              </w:rPr>
              <w:br/>
              <w:t>w realizacji projektów</w:t>
            </w:r>
          </w:p>
        </w:tc>
        <w:tc>
          <w:tcPr>
            <w:tcW w:w="1843" w:type="dxa"/>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Informowanie na temat warunków</w:t>
            </w:r>
            <w:r w:rsidRPr="00CB19BF">
              <w:rPr>
                <w:rFonts w:asciiTheme="minorHAnsi" w:eastAsia="Calibri" w:hAnsiTheme="minorHAnsi" w:cstheme="minorHAnsi"/>
                <w:lang w:eastAsia="pl-PL"/>
              </w:rPr>
              <w:br/>
              <w:t>i sposobów realizacji</w:t>
            </w:r>
            <w:r w:rsidRPr="00CB19BF">
              <w:rPr>
                <w:rFonts w:asciiTheme="minorHAnsi" w:eastAsia="Calibri" w:hAnsiTheme="minorHAnsi" w:cstheme="minorHAnsi"/>
                <w:lang w:eastAsia="pl-PL"/>
              </w:rPr>
              <w:br/>
              <w:t>i rozliczania projektów</w:t>
            </w:r>
          </w:p>
        </w:tc>
        <w:tc>
          <w:tcPr>
            <w:tcW w:w="1984" w:type="dxa"/>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Beneficjenci oraz wnioskodawcy</w:t>
            </w:r>
          </w:p>
        </w:tc>
        <w:tc>
          <w:tcPr>
            <w:tcW w:w="2552" w:type="dxa"/>
          </w:tcPr>
          <w:p w:rsidR="001C7A37" w:rsidRPr="00CB19BF" w:rsidRDefault="001C7A37" w:rsidP="002C1CED">
            <w:pPr>
              <w:ind w:hanging="108"/>
              <w:rPr>
                <w:rFonts w:asciiTheme="minorHAnsi" w:eastAsia="Calibri" w:hAnsiTheme="minorHAnsi" w:cstheme="minorHAnsi"/>
                <w:lang w:eastAsia="pl-PL"/>
              </w:rPr>
            </w:pPr>
            <w:r w:rsidRPr="00CB19BF">
              <w:rPr>
                <w:rFonts w:asciiTheme="minorHAnsi" w:eastAsia="Calibri" w:hAnsiTheme="minorHAnsi" w:cstheme="minorHAnsi"/>
                <w:lang w:eastAsia="pl-PL"/>
              </w:rPr>
              <w:t>- Doradztwo indywidualne/ szkolenia</w:t>
            </w:r>
          </w:p>
        </w:tc>
        <w:tc>
          <w:tcPr>
            <w:tcW w:w="2409" w:type="dxa"/>
          </w:tcPr>
          <w:p w:rsidR="001C7A37" w:rsidRPr="00CB19BF" w:rsidRDefault="001C7A37" w:rsidP="002C1CED">
            <w:pPr>
              <w:ind w:left="27"/>
              <w:rPr>
                <w:rFonts w:asciiTheme="minorHAnsi" w:eastAsia="Calibri" w:hAnsiTheme="minorHAnsi" w:cstheme="minorHAnsi"/>
                <w:u w:val="single"/>
                <w:lang w:eastAsia="pl-PL"/>
              </w:rPr>
            </w:pPr>
            <w:r w:rsidRPr="00CB19BF">
              <w:rPr>
                <w:rFonts w:asciiTheme="minorHAnsi" w:eastAsia="Calibri" w:hAnsiTheme="minorHAnsi" w:cstheme="minorHAnsi"/>
                <w:u w:val="single"/>
                <w:lang w:eastAsia="pl-PL"/>
              </w:rPr>
              <w:t>Wskaźnik:</w:t>
            </w:r>
          </w:p>
          <w:p w:rsidR="001C7A37" w:rsidRPr="00CB19BF" w:rsidRDefault="001C7A37" w:rsidP="002C1CED">
            <w:pPr>
              <w:ind w:left="27"/>
              <w:rPr>
                <w:rFonts w:asciiTheme="minorHAnsi" w:eastAsia="Calibri" w:hAnsiTheme="minorHAnsi" w:cstheme="minorHAnsi"/>
                <w:lang w:eastAsia="pl-PL"/>
              </w:rPr>
            </w:pPr>
            <w:r w:rsidRPr="00CB19BF">
              <w:rPr>
                <w:rFonts w:asciiTheme="minorHAnsi" w:eastAsia="Calibri" w:hAnsiTheme="minorHAnsi" w:cstheme="minorHAnsi"/>
                <w:lang w:eastAsia="pl-PL"/>
              </w:rPr>
              <w:t>Liczba osób, którym udzielono doradztwa na podstawie kart/ewidencji udzielonego doradztwa</w:t>
            </w:r>
            <w:r w:rsidR="00530C8E" w:rsidRPr="00CB19BF">
              <w:rPr>
                <w:rFonts w:asciiTheme="minorHAnsi" w:eastAsia="Calibri" w:hAnsiTheme="minorHAnsi" w:cstheme="minorHAnsi"/>
                <w:lang w:eastAsia="pl-PL"/>
              </w:rPr>
              <w:t xml:space="preserve"> (ilość: 200 osób)</w:t>
            </w:r>
            <w:r w:rsidRPr="00CB19BF">
              <w:rPr>
                <w:rFonts w:asciiTheme="minorHAnsi" w:eastAsia="Calibri" w:hAnsiTheme="minorHAnsi" w:cstheme="minorHAnsi"/>
                <w:lang w:eastAsia="pl-PL"/>
              </w:rPr>
              <w:t>/</w:t>
            </w:r>
          </w:p>
          <w:p w:rsidR="001C7A37" w:rsidRPr="00CB19BF" w:rsidRDefault="001C7A37" w:rsidP="002C1CED">
            <w:pPr>
              <w:ind w:left="27"/>
              <w:rPr>
                <w:rFonts w:asciiTheme="minorHAnsi" w:eastAsia="Calibri" w:hAnsiTheme="minorHAnsi" w:cstheme="minorHAnsi"/>
                <w:lang w:eastAsia="pl-PL"/>
              </w:rPr>
            </w:pPr>
            <w:r w:rsidRPr="00CB19BF">
              <w:rPr>
                <w:rFonts w:asciiTheme="minorHAnsi" w:eastAsia="Calibri" w:hAnsiTheme="minorHAnsi" w:cstheme="minorHAnsi"/>
                <w:lang w:eastAsia="pl-PL"/>
              </w:rPr>
              <w:t>Liczba szkoleń</w:t>
            </w:r>
            <w:r w:rsidR="00530C8E" w:rsidRPr="00CB19BF">
              <w:rPr>
                <w:rFonts w:asciiTheme="minorHAnsi" w:eastAsia="Calibri" w:hAnsiTheme="minorHAnsi" w:cstheme="minorHAnsi"/>
                <w:lang w:eastAsia="pl-PL"/>
              </w:rPr>
              <w:t xml:space="preserve"> (ilość </w:t>
            </w:r>
            <w:r w:rsidR="009C422D" w:rsidRPr="00CB19BF">
              <w:rPr>
                <w:rFonts w:asciiTheme="minorHAnsi" w:eastAsia="Calibri" w:hAnsiTheme="minorHAnsi" w:cstheme="minorHAnsi"/>
                <w:lang w:eastAsia="pl-PL"/>
              </w:rPr>
              <w:t>12</w:t>
            </w:r>
            <w:r w:rsidR="00530C8E" w:rsidRPr="00CB19BF">
              <w:rPr>
                <w:rFonts w:asciiTheme="minorHAnsi" w:eastAsia="Calibri" w:hAnsiTheme="minorHAnsi" w:cstheme="minorHAnsi"/>
                <w:lang w:eastAsia="pl-PL"/>
              </w:rPr>
              <w:t xml:space="preserve">) </w:t>
            </w:r>
          </w:p>
          <w:p w:rsidR="001C7A37" w:rsidRPr="00CB19BF" w:rsidRDefault="001C7A37" w:rsidP="002C1CED">
            <w:pPr>
              <w:rPr>
                <w:rFonts w:asciiTheme="minorHAnsi" w:eastAsia="Calibri" w:hAnsiTheme="minorHAnsi" w:cstheme="minorHAnsi"/>
                <w:lang w:eastAsia="pl-PL"/>
              </w:rPr>
            </w:pPr>
          </w:p>
          <w:p w:rsidR="001C7A37" w:rsidRPr="00CB19BF" w:rsidRDefault="001C7A37" w:rsidP="002C1CED">
            <w:pPr>
              <w:ind w:left="27"/>
              <w:rPr>
                <w:rFonts w:asciiTheme="minorHAnsi" w:eastAsia="Calibri" w:hAnsiTheme="minorHAnsi" w:cstheme="minorHAnsi"/>
                <w:u w:val="single"/>
                <w:lang w:eastAsia="pl-PL"/>
              </w:rPr>
            </w:pPr>
            <w:r w:rsidRPr="00CB19BF">
              <w:rPr>
                <w:rFonts w:asciiTheme="minorHAnsi" w:eastAsia="Calibri" w:hAnsiTheme="minorHAnsi" w:cstheme="minorHAnsi"/>
                <w:u w:val="single"/>
                <w:lang w:eastAsia="pl-PL"/>
              </w:rPr>
              <w:t>Efekt:</w:t>
            </w:r>
          </w:p>
          <w:p w:rsidR="001C7A37" w:rsidRPr="00CB19BF" w:rsidRDefault="001C7A37" w:rsidP="002C1CED">
            <w:pPr>
              <w:ind w:left="16" w:hanging="16"/>
              <w:rPr>
                <w:rFonts w:asciiTheme="minorHAnsi" w:eastAsia="Calibri" w:hAnsiTheme="minorHAnsi" w:cstheme="minorHAnsi"/>
                <w:lang w:eastAsia="pl-PL"/>
              </w:rPr>
            </w:pPr>
            <w:r w:rsidRPr="00CB19BF">
              <w:rPr>
                <w:rFonts w:asciiTheme="minorHAnsi" w:eastAsia="Calibri" w:hAnsiTheme="minorHAnsi" w:cstheme="minorHAnsi"/>
                <w:lang w:eastAsia="pl-PL"/>
              </w:rPr>
              <w:t>Podniesienie wiedzy mieszkańców nt. warunków i sposobów realizacji i rozliczania  projektów</w:t>
            </w:r>
          </w:p>
        </w:tc>
        <w:tc>
          <w:tcPr>
            <w:tcW w:w="1276" w:type="dxa"/>
          </w:tcPr>
          <w:p w:rsidR="001C7A37" w:rsidRPr="00CB19BF" w:rsidRDefault="00530C8E"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0,00 zł/</w:t>
            </w:r>
            <w:r w:rsidR="009C422D" w:rsidRPr="00CB19BF">
              <w:rPr>
                <w:rFonts w:asciiTheme="minorHAnsi" w:eastAsia="Calibri" w:hAnsiTheme="minorHAnsi" w:cstheme="minorHAnsi"/>
                <w:lang w:eastAsia="pl-PL"/>
              </w:rPr>
              <w:t>24</w:t>
            </w:r>
            <w:r w:rsidRPr="00CB19BF">
              <w:rPr>
                <w:rFonts w:asciiTheme="minorHAnsi" w:eastAsia="Calibri" w:hAnsiTheme="minorHAnsi" w:cstheme="minorHAnsi"/>
                <w:lang w:eastAsia="pl-PL"/>
              </w:rPr>
              <w:t>00,00 zł</w:t>
            </w:r>
          </w:p>
        </w:tc>
        <w:tc>
          <w:tcPr>
            <w:tcW w:w="2126" w:type="dxa"/>
          </w:tcPr>
          <w:p w:rsidR="001C7A37" w:rsidRPr="00CB19BF" w:rsidRDefault="001C7A37" w:rsidP="002C1CED">
            <w:pPr>
              <w:rPr>
                <w:rFonts w:asciiTheme="minorHAnsi" w:hAnsiTheme="minorHAnsi" w:cstheme="minorHAnsi"/>
                <w:lang w:eastAsia="pl-PL"/>
              </w:rPr>
            </w:pPr>
            <w:r w:rsidRPr="00CB19BF">
              <w:rPr>
                <w:rFonts w:asciiTheme="minorHAnsi" w:hAnsiTheme="minorHAnsi" w:cstheme="minorHAnsi"/>
                <w:lang w:eastAsia="pl-PL"/>
              </w:rPr>
              <w:t>Karta / ewidencja udzielonego doradztwa/</w:t>
            </w:r>
          </w:p>
          <w:p w:rsidR="001C7A37" w:rsidRPr="00CB19BF" w:rsidRDefault="001C7A37" w:rsidP="002C1CED">
            <w:pPr>
              <w:rPr>
                <w:rFonts w:asciiTheme="minorHAnsi" w:hAnsiTheme="minorHAnsi" w:cstheme="minorHAnsi"/>
                <w:lang w:eastAsia="pl-PL"/>
              </w:rPr>
            </w:pPr>
            <w:r w:rsidRPr="00CB19BF">
              <w:rPr>
                <w:rFonts w:asciiTheme="minorHAnsi" w:hAnsiTheme="minorHAnsi" w:cstheme="minorHAnsi"/>
                <w:lang w:eastAsia="pl-PL"/>
              </w:rPr>
              <w:t>Ankieta po przeprowadzonym szkoleniu</w:t>
            </w:r>
          </w:p>
        </w:tc>
      </w:tr>
      <w:tr w:rsidR="001C7A37" w:rsidRPr="00CB19BF" w:rsidTr="001C7A37">
        <w:trPr>
          <w:trHeight w:val="679"/>
        </w:trPr>
        <w:tc>
          <w:tcPr>
            <w:tcW w:w="1261" w:type="dxa"/>
            <w:shd w:val="clear" w:color="auto" w:fill="F2F2F2"/>
          </w:tcPr>
          <w:p w:rsidR="001C7A37" w:rsidRPr="00CB19BF" w:rsidRDefault="00DB198C"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2024-2027</w:t>
            </w:r>
          </w:p>
        </w:tc>
        <w:tc>
          <w:tcPr>
            <w:tcW w:w="2709" w:type="dxa"/>
            <w:shd w:val="clear" w:color="auto" w:fill="F2F2F2"/>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 xml:space="preserve">Poinformowanie potencjalnych wnioskodawców  </w:t>
            </w:r>
            <w:r w:rsidRPr="00CB19BF">
              <w:rPr>
                <w:rFonts w:asciiTheme="minorHAnsi" w:eastAsia="Calibri" w:hAnsiTheme="minorHAnsi" w:cstheme="minorHAnsi"/>
                <w:lang w:eastAsia="pl-PL"/>
              </w:rPr>
              <w:br/>
            </w:r>
            <w:r w:rsidRPr="00CB19BF">
              <w:rPr>
                <w:rFonts w:asciiTheme="minorHAnsi" w:eastAsia="Calibri" w:hAnsiTheme="minorHAnsi" w:cstheme="minorHAnsi"/>
                <w:lang w:eastAsia="pl-PL"/>
              </w:rPr>
              <w:lastRenderedPageBreak/>
              <w:t>o naborach wniosków</w:t>
            </w:r>
            <w:r w:rsidRPr="00CB19BF">
              <w:rPr>
                <w:rFonts w:asciiTheme="minorHAnsi" w:eastAsia="Calibri" w:hAnsiTheme="minorHAnsi" w:cstheme="minorHAnsi"/>
                <w:lang w:eastAsia="pl-PL"/>
              </w:rPr>
              <w:br/>
              <w:t xml:space="preserve">i możliwości realizacji operacji </w:t>
            </w:r>
          </w:p>
        </w:tc>
        <w:tc>
          <w:tcPr>
            <w:tcW w:w="1843" w:type="dxa"/>
            <w:shd w:val="clear" w:color="auto" w:fill="F2F2F2"/>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lastRenderedPageBreak/>
              <w:t xml:space="preserve">Kampania informacyjna na temat terminów </w:t>
            </w:r>
            <w:r w:rsidRPr="00CB19BF">
              <w:rPr>
                <w:rFonts w:asciiTheme="minorHAnsi" w:eastAsia="Calibri" w:hAnsiTheme="minorHAnsi" w:cstheme="minorHAnsi"/>
                <w:lang w:eastAsia="pl-PL"/>
              </w:rPr>
              <w:lastRenderedPageBreak/>
              <w:t>przyjmowanych wniosków</w:t>
            </w:r>
          </w:p>
        </w:tc>
        <w:tc>
          <w:tcPr>
            <w:tcW w:w="1984" w:type="dxa"/>
            <w:shd w:val="clear" w:color="auto" w:fill="F2F2F2"/>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lastRenderedPageBreak/>
              <w:t xml:space="preserve">Potencjalni wnioskodawcy </w:t>
            </w:r>
            <w:r w:rsidRPr="00CB19BF">
              <w:rPr>
                <w:rFonts w:asciiTheme="minorHAnsi" w:hAnsiTheme="minorHAnsi" w:cstheme="minorHAnsi"/>
                <w:lang w:eastAsia="pl-PL"/>
              </w:rPr>
              <w:t xml:space="preserve">– w </w:t>
            </w:r>
            <w:r w:rsidRPr="00CB19BF">
              <w:rPr>
                <w:rFonts w:asciiTheme="minorHAnsi" w:hAnsiTheme="minorHAnsi" w:cstheme="minorHAnsi"/>
                <w:lang w:eastAsia="pl-PL"/>
              </w:rPr>
              <w:lastRenderedPageBreak/>
              <w:t>zależności od naboru</w:t>
            </w:r>
          </w:p>
        </w:tc>
        <w:tc>
          <w:tcPr>
            <w:tcW w:w="2552" w:type="dxa"/>
            <w:shd w:val="clear" w:color="auto" w:fill="F2F2F2"/>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lastRenderedPageBreak/>
              <w:t>-Informacje na oficjalnej stronie internetowej LGD</w:t>
            </w:r>
          </w:p>
          <w:p w:rsidR="001C7A37" w:rsidRPr="00CB19BF" w:rsidRDefault="001C7A37" w:rsidP="002C1CED">
            <w:pPr>
              <w:rPr>
                <w:rFonts w:asciiTheme="minorHAnsi" w:eastAsia="Calibri" w:hAnsiTheme="minorHAnsi" w:cstheme="minorHAnsi"/>
                <w:lang w:eastAsia="pl-PL"/>
              </w:rPr>
            </w:pPr>
            <w:r w:rsidRPr="00CB19BF">
              <w:rPr>
                <w:rFonts w:asciiTheme="minorHAnsi" w:hAnsiTheme="minorHAnsi" w:cstheme="minorHAnsi"/>
                <w:lang w:eastAsia="pl-PL"/>
              </w:rPr>
              <w:lastRenderedPageBreak/>
              <w:t>- Mailing oraz strona internetowa gmin członkowskich</w:t>
            </w:r>
          </w:p>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-Informacje na portalach społecznościowych – fanpage LGD oraz w mediach o zasięgu lokalnym</w:t>
            </w:r>
          </w:p>
          <w:p w:rsidR="001C7A37" w:rsidRPr="00CB19BF" w:rsidRDefault="001C7A37" w:rsidP="002C1CED">
            <w:pPr>
              <w:ind w:left="175"/>
              <w:rPr>
                <w:rFonts w:asciiTheme="minorHAnsi" w:eastAsia="Calibri" w:hAnsiTheme="minorHAnsi" w:cstheme="minorHAnsi"/>
                <w:lang w:eastAsia="pl-PL"/>
              </w:rPr>
            </w:pPr>
          </w:p>
          <w:p w:rsidR="001C7A37" w:rsidRPr="00CB19BF" w:rsidRDefault="001C7A37" w:rsidP="002C1CED">
            <w:pPr>
              <w:rPr>
                <w:rFonts w:asciiTheme="minorHAnsi" w:eastAsia="Calibri" w:hAnsiTheme="minorHAnsi" w:cstheme="minorHAnsi"/>
                <w:i/>
              </w:rPr>
            </w:pPr>
          </w:p>
        </w:tc>
        <w:tc>
          <w:tcPr>
            <w:tcW w:w="2409" w:type="dxa"/>
            <w:shd w:val="clear" w:color="auto" w:fill="F2F2F2"/>
          </w:tcPr>
          <w:p w:rsidR="001C7A37" w:rsidRPr="00CB19BF" w:rsidRDefault="001C7A37" w:rsidP="002C1CED">
            <w:pPr>
              <w:rPr>
                <w:rFonts w:asciiTheme="minorHAnsi" w:hAnsiTheme="minorHAnsi" w:cstheme="minorHAnsi"/>
                <w:u w:val="single"/>
                <w:lang w:eastAsia="pl-PL"/>
              </w:rPr>
            </w:pPr>
            <w:r w:rsidRPr="00CB19BF">
              <w:rPr>
                <w:rFonts w:asciiTheme="minorHAnsi" w:hAnsiTheme="minorHAnsi" w:cstheme="minorHAnsi"/>
                <w:u w:val="single"/>
                <w:lang w:eastAsia="pl-PL"/>
              </w:rPr>
              <w:lastRenderedPageBreak/>
              <w:t xml:space="preserve">Wskaźnik: </w:t>
            </w:r>
          </w:p>
          <w:p w:rsidR="001C7A37" w:rsidRPr="00CB19BF" w:rsidRDefault="001C7A37" w:rsidP="002C1CED">
            <w:pPr>
              <w:rPr>
                <w:rFonts w:asciiTheme="minorHAnsi" w:hAnsiTheme="minorHAnsi" w:cstheme="minorHAnsi"/>
              </w:rPr>
            </w:pPr>
            <w:r w:rsidRPr="00CB19BF">
              <w:rPr>
                <w:rFonts w:asciiTheme="minorHAnsi" w:hAnsiTheme="minorHAnsi" w:cstheme="minorHAnsi"/>
                <w:lang w:eastAsia="pl-PL"/>
              </w:rPr>
              <w:t>Artykuły na stronach internetowych (ilość:</w:t>
            </w:r>
            <w:r w:rsidR="00530C8E" w:rsidRPr="00CB19BF">
              <w:rPr>
                <w:rFonts w:asciiTheme="minorHAnsi" w:hAnsiTheme="minorHAnsi" w:cstheme="minorHAnsi"/>
                <w:lang w:eastAsia="pl-PL"/>
              </w:rPr>
              <w:t>40</w:t>
            </w:r>
            <w:r w:rsidRPr="00CB19BF">
              <w:rPr>
                <w:rFonts w:asciiTheme="minorHAnsi" w:hAnsiTheme="minorHAnsi" w:cstheme="minorHAnsi"/>
                <w:lang w:eastAsia="pl-PL"/>
              </w:rPr>
              <w:t xml:space="preserve">) </w:t>
            </w:r>
          </w:p>
          <w:p w:rsidR="001C7A37" w:rsidRPr="00CB19BF" w:rsidRDefault="001C7A37" w:rsidP="002C1CED">
            <w:pPr>
              <w:rPr>
                <w:rFonts w:asciiTheme="minorHAnsi" w:hAnsiTheme="minorHAnsi" w:cstheme="minorHAnsi"/>
                <w:lang w:eastAsia="pl-PL"/>
              </w:rPr>
            </w:pPr>
          </w:p>
          <w:p w:rsidR="001C7A37" w:rsidRPr="00CB19BF" w:rsidRDefault="001C7A37" w:rsidP="002C1CED">
            <w:pPr>
              <w:rPr>
                <w:rFonts w:asciiTheme="minorHAnsi" w:hAnsiTheme="minorHAnsi" w:cstheme="minorHAnsi"/>
                <w:lang w:eastAsia="pl-PL"/>
              </w:rPr>
            </w:pPr>
            <w:r w:rsidRPr="00CB19BF">
              <w:rPr>
                <w:rFonts w:asciiTheme="minorHAnsi" w:hAnsiTheme="minorHAnsi" w:cstheme="minorHAnsi"/>
                <w:lang w:eastAsia="pl-PL"/>
              </w:rPr>
              <w:t>Informacje na portalach społecznościowych oraz mediach o zasięgu lokalnym (ilość:</w:t>
            </w:r>
            <w:r w:rsidR="00851100" w:rsidRPr="00CB19BF">
              <w:rPr>
                <w:rFonts w:asciiTheme="minorHAnsi" w:hAnsiTheme="minorHAnsi" w:cstheme="minorHAnsi"/>
                <w:lang w:eastAsia="pl-PL"/>
              </w:rPr>
              <w:t>40</w:t>
            </w:r>
            <w:r w:rsidRPr="00CB19BF">
              <w:rPr>
                <w:rFonts w:asciiTheme="minorHAnsi" w:hAnsiTheme="minorHAnsi" w:cstheme="minorHAnsi"/>
                <w:lang w:eastAsia="pl-PL"/>
              </w:rPr>
              <w:t>)</w:t>
            </w:r>
          </w:p>
          <w:p w:rsidR="001C7A37" w:rsidRPr="00CB19BF" w:rsidRDefault="001C7A37" w:rsidP="002C1CED">
            <w:pPr>
              <w:rPr>
                <w:rFonts w:asciiTheme="minorHAnsi" w:hAnsiTheme="minorHAnsi" w:cstheme="minorHAnsi"/>
                <w:highlight w:val="yellow"/>
                <w:lang w:eastAsia="pl-PL"/>
              </w:rPr>
            </w:pPr>
          </w:p>
          <w:p w:rsidR="001C7A37" w:rsidRPr="00CB19BF" w:rsidRDefault="001C7A37" w:rsidP="002C1CED">
            <w:pPr>
              <w:rPr>
                <w:rFonts w:asciiTheme="minorHAnsi" w:hAnsiTheme="minorHAnsi" w:cstheme="minorHAnsi"/>
                <w:u w:val="single"/>
              </w:rPr>
            </w:pPr>
            <w:r w:rsidRPr="00CB19BF">
              <w:rPr>
                <w:rFonts w:asciiTheme="minorHAnsi" w:hAnsiTheme="minorHAnsi" w:cstheme="minorHAnsi"/>
                <w:u w:val="single"/>
                <w:lang w:eastAsia="pl-PL"/>
              </w:rPr>
              <w:t>Efekt:</w:t>
            </w:r>
          </w:p>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Poinformowanie potencjalnych wnioskodawców o naborach wniosków</w:t>
            </w:r>
            <w:r w:rsidRPr="00CB19BF">
              <w:rPr>
                <w:rFonts w:asciiTheme="minorHAnsi" w:eastAsia="Calibri" w:hAnsiTheme="minorHAnsi" w:cstheme="minorHAnsi"/>
                <w:lang w:eastAsia="pl-PL"/>
              </w:rPr>
              <w:br/>
              <w:t>i możliwości realizacji operacji</w:t>
            </w:r>
          </w:p>
        </w:tc>
        <w:tc>
          <w:tcPr>
            <w:tcW w:w="1276" w:type="dxa"/>
            <w:shd w:val="clear" w:color="auto" w:fill="F2F2F2"/>
          </w:tcPr>
          <w:p w:rsidR="001C7A37" w:rsidRPr="00CB19BF" w:rsidRDefault="00530C8E" w:rsidP="002C1CED">
            <w:pPr>
              <w:ind w:hanging="7"/>
              <w:rPr>
                <w:rFonts w:asciiTheme="minorHAnsi" w:eastAsia="Calibri" w:hAnsiTheme="minorHAnsi" w:cstheme="minorHAnsi"/>
                <w:lang w:eastAsia="pl-PL"/>
              </w:rPr>
            </w:pPr>
            <w:r w:rsidRPr="00CB19BF">
              <w:rPr>
                <w:rFonts w:asciiTheme="minorHAnsi" w:eastAsia="Calibri" w:hAnsiTheme="minorHAnsi" w:cstheme="minorHAnsi"/>
                <w:lang w:eastAsia="pl-PL"/>
              </w:rPr>
              <w:lastRenderedPageBreak/>
              <w:t>0,00 zł/6000,00 zł</w:t>
            </w:r>
          </w:p>
        </w:tc>
        <w:tc>
          <w:tcPr>
            <w:tcW w:w="2126" w:type="dxa"/>
            <w:shd w:val="clear" w:color="auto" w:fill="F2F2F2"/>
          </w:tcPr>
          <w:p w:rsidR="001C7A37" w:rsidRPr="00CB19BF" w:rsidRDefault="001C7A37" w:rsidP="002C1CED">
            <w:pPr>
              <w:ind w:hanging="7"/>
              <w:rPr>
                <w:rFonts w:asciiTheme="minorHAnsi" w:eastAsia="Calibri" w:hAnsiTheme="minorHAnsi" w:cstheme="minorHAnsi"/>
                <w:lang w:eastAsia="pl-PL"/>
              </w:rPr>
            </w:pPr>
            <w:r w:rsidRPr="00CB19BF">
              <w:rPr>
                <w:rFonts w:asciiTheme="minorHAnsi" w:eastAsia="Calibri" w:hAnsiTheme="minorHAnsi" w:cstheme="minorHAnsi"/>
                <w:lang w:eastAsia="pl-PL"/>
              </w:rPr>
              <w:t xml:space="preserve">Informacja zwrotna dotycząca ilości złożonych wniosków </w:t>
            </w:r>
            <w:r w:rsidRPr="00CB19BF">
              <w:rPr>
                <w:rFonts w:asciiTheme="minorHAnsi" w:eastAsia="Calibri" w:hAnsiTheme="minorHAnsi" w:cstheme="minorHAnsi"/>
                <w:lang w:eastAsia="pl-PL"/>
              </w:rPr>
              <w:lastRenderedPageBreak/>
              <w:t>o dofinansowanie na poszczególne przedsięwzięcia oraz ilości udzielonego doradztwa</w:t>
            </w:r>
          </w:p>
        </w:tc>
      </w:tr>
      <w:tr w:rsidR="001C7A37" w:rsidRPr="00CB19BF" w:rsidTr="001C7A37">
        <w:trPr>
          <w:trHeight w:val="537"/>
        </w:trPr>
        <w:tc>
          <w:tcPr>
            <w:tcW w:w="1261" w:type="dxa"/>
            <w:shd w:val="clear" w:color="auto" w:fill="FFFFFF"/>
          </w:tcPr>
          <w:p w:rsidR="001C7A37" w:rsidRPr="00CB19BF" w:rsidRDefault="00DB198C"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lastRenderedPageBreak/>
              <w:t>202</w:t>
            </w:r>
            <w:r w:rsidR="00851100" w:rsidRPr="00CB19BF">
              <w:rPr>
                <w:rFonts w:asciiTheme="minorHAnsi" w:eastAsia="Calibri" w:hAnsiTheme="minorHAnsi" w:cstheme="minorHAnsi"/>
                <w:lang w:eastAsia="pl-PL"/>
              </w:rPr>
              <w:t>4</w:t>
            </w:r>
            <w:r w:rsidRPr="00CB19BF">
              <w:rPr>
                <w:rFonts w:asciiTheme="minorHAnsi" w:eastAsia="Calibri" w:hAnsiTheme="minorHAnsi" w:cstheme="minorHAnsi"/>
                <w:lang w:eastAsia="pl-PL"/>
              </w:rPr>
              <w:t>-2027</w:t>
            </w:r>
          </w:p>
        </w:tc>
        <w:tc>
          <w:tcPr>
            <w:tcW w:w="2709" w:type="dxa"/>
            <w:shd w:val="clear" w:color="auto" w:fill="FFFFFF"/>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Pozyskanie informacji zwrotnej dotyczącej oceny jakości doradztwa świadczonego przez LGD</w:t>
            </w:r>
          </w:p>
        </w:tc>
        <w:tc>
          <w:tcPr>
            <w:tcW w:w="1843" w:type="dxa"/>
            <w:shd w:val="clear" w:color="auto" w:fill="FFFFFF"/>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Badanie satysfakcji wnioskodawców i beneficjentów dot. jakości doradztwa świadczonego przez LGD na etapie przygotowania wniosków o wsparcie projektowanych działań oraz o rozliczenie realizowanych operacji</w:t>
            </w:r>
          </w:p>
        </w:tc>
        <w:tc>
          <w:tcPr>
            <w:tcW w:w="1984" w:type="dxa"/>
            <w:shd w:val="clear" w:color="auto" w:fill="FFFFFF"/>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Wnioskodawcy i beneficjenci</w:t>
            </w:r>
            <w:r w:rsidRPr="00CB19BF">
              <w:rPr>
                <w:rFonts w:asciiTheme="minorHAnsi" w:eastAsia="Calibri" w:hAnsiTheme="minorHAnsi" w:cstheme="minorHAnsi"/>
                <w:lang w:eastAsia="pl-PL"/>
              </w:rPr>
              <w:br/>
              <w:t>w poszczególnych zakresach operacji</w:t>
            </w:r>
          </w:p>
        </w:tc>
        <w:tc>
          <w:tcPr>
            <w:tcW w:w="2552" w:type="dxa"/>
            <w:shd w:val="clear" w:color="auto" w:fill="FFFFFF"/>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 Ankieta wypełniana po doradztwie</w:t>
            </w:r>
          </w:p>
        </w:tc>
        <w:tc>
          <w:tcPr>
            <w:tcW w:w="2409" w:type="dxa"/>
            <w:shd w:val="clear" w:color="auto" w:fill="FFFFFF"/>
          </w:tcPr>
          <w:p w:rsidR="001C7A37" w:rsidRPr="00CB19BF" w:rsidRDefault="001C7A37" w:rsidP="002C1CED">
            <w:pPr>
              <w:rPr>
                <w:rFonts w:asciiTheme="minorHAnsi" w:eastAsia="Calibri" w:hAnsiTheme="minorHAnsi" w:cstheme="minorHAnsi"/>
                <w:u w:val="single"/>
                <w:lang w:eastAsia="pl-PL"/>
              </w:rPr>
            </w:pPr>
            <w:r w:rsidRPr="00CB19BF">
              <w:rPr>
                <w:rFonts w:asciiTheme="minorHAnsi" w:eastAsia="Calibri" w:hAnsiTheme="minorHAnsi" w:cstheme="minorHAnsi"/>
                <w:u w:val="single"/>
                <w:lang w:eastAsia="pl-PL"/>
              </w:rPr>
              <w:t xml:space="preserve">Wskaźnik: </w:t>
            </w:r>
          </w:p>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Ankieta dystrybuowana wśród wnioskodawców i beneficjentów (ilość:</w:t>
            </w:r>
            <w:r w:rsidR="00530C8E" w:rsidRPr="00CB19BF">
              <w:rPr>
                <w:rFonts w:asciiTheme="minorHAnsi" w:eastAsia="Calibri" w:hAnsiTheme="minorHAnsi" w:cstheme="minorHAnsi"/>
                <w:lang w:eastAsia="pl-PL"/>
              </w:rPr>
              <w:t xml:space="preserve"> 200</w:t>
            </w:r>
            <w:r w:rsidRPr="00CB19BF">
              <w:rPr>
                <w:rFonts w:asciiTheme="minorHAnsi" w:eastAsia="Calibri" w:hAnsiTheme="minorHAnsi" w:cstheme="minorHAnsi"/>
                <w:lang w:eastAsia="pl-PL"/>
              </w:rPr>
              <w:t>)</w:t>
            </w:r>
          </w:p>
          <w:p w:rsidR="001C7A37" w:rsidRPr="00CB19BF" w:rsidRDefault="001C7A37" w:rsidP="002C1CED">
            <w:pPr>
              <w:rPr>
                <w:rFonts w:asciiTheme="minorHAnsi" w:eastAsia="Calibri" w:hAnsiTheme="minorHAnsi" w:cstheme="minorHAnsi"/>
                <w:lang w:eastAsia="pl-PL"/>
              </w:rPr>
            </w:pPr>
          </w:p>
          <w:p w:rsidR="001C7A37" w:rsidRPr="00CB19BF" w:rsidRDefault="001C7A37" w:rsidP="002C1CED">
            <w:pPr>
              <w:rPr>
                <w:rFonts w:asciiTheme="minorHAnsi" w:eastAsia="Calibri" w:hAnsiTheme="minorHAnsi" w:cstheme="minorHAnsi"/>
                <w:u w:val="single"/>
                <w:lang w:eastAsia="pl-PL"/>
              </w:rPr>
            </w:pPr>
            <w:r w:rsidRPr="00CB19BF">
              <w:rPr>
                <w:rFonts w:asciiTheme="minorHAnsi" w:eastAsia="Calibri" w:hAnsiTheme="minorHAnsi" w:cstheme="minorHAnsi"/>
                <w:u w:val="single"/>
                <w:lang w:eastAsia="pl-PL"/>
              </w:rPr>
              <w:t xml:space="preserve">Efekt: </w:t>
            </w:r>
          </w:p>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Uzyskanie zewnętrznej wiedzy na temat jakości doradztwa  w celu, np. dodatkowego przeszkolenia osób udzielających doradztwa, doskonalenia umiejętności komunikacyjnych</w:t>
            </w:r>
          </w:p>
        </w:tc>
        <w:tc>
          <w:tcPr>
            <w:tcW w:w="1276" w:type="dxa"/>
            <w:shd w:val="clear" w:color="auto" w:fill="FFFFFF"/>
          </w:tcPr>
          <w:p w:rsidR="001C7A37" w:rsidRPr="00CB19BF" w:rsidRDefault="00530C8E"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0,00 zł</w:t>
            </w:r>
          </w:p>
        </w:tc>
        <w:tc>
          <w:tcPr>
            <w:tcW w:w="2126" w:type="dxa"/>
            <w:shd w:val="clear" w:color="auto" w:fill="FFFFFF"/>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Badanie ankietowe</w:t>
            </w:r>
          </w:p>
        </w:tc>
      </w:tr>
      <w:tr w:rsidR="001C7A37" w:rsidRPr="00CB19BF" w:rsidTr="001C7A37">
        <w:trPr>
          <w:trHeight w:val="679"/>
        </w:trPr>
        <w:tc>
          <w:tcPr>
            <w:tcW w:w="1261" w:type="dxa"/>
            <w:shd w:val="clear" w:color="auto" w:fill="F2F2F2" w:themeFill="background1" w:themeFillShade="F2"/>
          </w:tcPr>
          <w:p w:rsidR="001C7A37" w:rsidRPr="00CB19BF" w:rsidRDefault="00DB198C"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202</w:t>
            </w:r>
            <w:r w:rsidR="00851100" w:rsidRPr="00CB19BF">
              <w:rPr>
                <w:rFonts w:asciiTheme="minorHAnsi" w:eastAsia="Calibri" w:hAnsiTheme="minorHAnsi" w:cstheme="minorHAnsi"/>
                <w:lang w:eastAsia="pl-PL"/>
              </w:rPr>
              <w:t>4</w:t>
            </w:r>
            <w:r w:rsidRPr="00CB19BF">
              <w:rPr>
                <w:rFonts w:asciiTheme="minorHAnsi" w:eastAsia="Calibri" w:hAnsiTheme="minorHAnsi" w:cstheme="minorHAnsi"/>
                <w:lang w:eastAsia="pl-PL"/>
              </w:rPr>
              <w:t>-2027</w:t>
            </w:r>
          </w:p>
        </w:tc>
        <w:tc>
          <w:tcPr>
            <w:tcW w:w="2709" w:type="dxa"/>
            <w:shd w:val="clear" w:color="auto" w:fill="F2F2F2" w:themeFill="background1" w:themeFillShade="F2"/>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Poinformowanie mieszkańców o efektach realizacji LSR w całym okresie programowania</w:t>
            </w:r>
          </w:p>
        </w:tc>
        <w:tc>
          <w:tcPr>
            <w:tcW w:w="1843" w:type="dxa"/>
            <w:shd w:val="clear" w:color="auto" w:fill="F2F2F2" w:themeFill="background1" w:themeFillShade="F2"/>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Kampania informacyjna LGD nt. głównych efektów LSR</w:t>
            </w:r>
          </w:p>
        </w:tc>
        <w:tc>
          <w:tcPr>
            <w:tcW w:w="1984" w:type="dxa"/>
            <w:shd w:val="clear" w:color="auto" w:fill="F2F2F2" w:themeFill="background1" w:themeFillShade="F2"/>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Mieszkańcy obszaru LGD</w:t>
            </w:r>
          </w:p>
        </w:tc>
        <w:tc>
          <w:tcPr>
            <w:tcW w:w="2552" w:type="dxa"/>
            <w:shd w:val="clear" w:color="auto" w:fill="F2F2F2" w:themeFill="background1" w:themeFillShade="F2"/>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-Informacje na oficjalnej stronie internetowej LGD</w:t>
            </w:r>
          </w:p>
          <w:p w:rsidR="001C7A37" w:rsidRPr="00CB19BF" w:rsidRDefault="001C7A37" w:rsidP="002C1CED">
            <w:pPr>
              <w:rPr>
                <w:rFonts w:asciiTheme="minorHAnsi" w:hAnsiTheme="minorHAnsi" w:cstheme="minorHAnsi"/>
              </w:rPr>
            </w:pPr>
            <w:r w:rsidRPr="00CB19BF">
              <w:rPr>
                <w:rFonts w:asciiTheme="minorHAnsi" w:hAnsiTheme="minorHAnsi" w:cstheme="minorHAnsi"/>
                <w:lang w:eastAsia="pl-PL"/>
              </w:rPr>
              <w:t xml:space="preserve">-Mailing oraz  strona internetowa gmin członkowskich </w:t>
            </w:r>
          </w:p>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 xml:space="preserve">- Informacje na portalu społecznościowym LGD </w:t>
            </w:r>
            <w:r w:rsidRPr="00CB19BF">
              <w:rPr>
                <w:rFonts w:asciiTheme="minorHAnsi" w:eastAsia="Calibri" w:hAnsiTheme="minorHAnsi" w:cstheme="minorHAnsi"/>
                <w:lang w:eastAsia="pl-PL"/>
              </w:rPr>
              <w:lastRenderedPageBreak/>
              <w:t>oraz w mediach o zasięgu lokalnym</w:t>
            </w:r>
          </w:p>
          <w:p w:rsidR="001C7A37" w:rsidRPr="00CB19BF" w:rsidRDefault="001C7A37" w:rsidP="002C1CED">
            <w:pPr>
              <w:ind w:left="-42"/>
              <w:rPr>
                <w:rFonts w:asciiTheme="minorHAnsi" w:eastAsia="Calibri" w:hAnsiTheme="minorHAnsi" w:cstheme="minorHAnsi"/>
                <w:lang w:eastAsia="pl-PL"/>
              </w:rPr>
            </w:pPr>
          </w:p>
          <w:p w:rsidR="001C7A37" w:rsidRPr="00CB19BF" w:rsidRDefault="001C7A37" w:rsidP="002C1CED">
            <w:pPr>
              <w:ind w:left="-42"/>
              <w:rPr>
                <w:rFonts w:asciiTheme="minorHAnsi" w:eastAsia="Calibri" w:hAnsiTheme="minorHAnsi" w:cstheme="minorHAnsi"/>
                <w:lang w:eastAsia="pl-PL"/>
              </w:rPr>
            </w:pPr>
          </w:p>
        </w:tc>
        <w:tc>
          <w:tcPr>
            <w:tcW w:w="2409" w:type="dxa"/>
            <w:shd w:val="clear" w:color="auto" w:fill="F2F2F2" w:themeFill="background1" w:themeFillShade="F2"/>
          </w:tcPr>
          <w:p w:rsidR="001C7A37" w:rsidRPr="00CB19BF" w:rsidRDefault="001C7A37" w:rsidP="002C1CED">
            <w:pPr>
              <w:rPr>
                <w:rFonts w:asciiTheme="minorHAnsi" w:hAnsiTheme="minorHAnsi" w:cstheme="minorHAnsi"/>
                <w:u w:val="single"/>
                <w:lang w:eastAsia="pl-PL"/>
              </w:rPr>
            </w:pPr>
            <w:r w:rsidRPr="00CB19BF">
              <w:rPr>
                <w:rFonts w:asciiTheme="minorHAnsi" w:hAnsiTheme="minorHAnsi" w:cstheme="minorHAnsi"/>
                <w:u w:val="single"/>
                <w:lang w:eastAsia="pl-PL"/>
              </w:rPr>
              <w:lastRenderedPageBreak/>
              <w:t xml:space="preserve">Wskaźnik: </w:t>
            </w:r>
          </w:p>
          <w:p w:rsidR="001C7A37" w:rsidRPr="00CB19BF" w:rsidRDefault="001C7A37" w:rsidP="002C1CED">
            <w:pPr>
              <w:rPr>
                <w:rFonts w:asciiTheme="minorHAnsi" w:hAnsiTheme="minorHAnsi" w:cstheme="minorHAnsi"/>
              </w:rPr>
            </w:pPr>
            <w:r w:rsidRPr="00CB19BF">
              <w:rPr>
                <w:rFonts w:asciiTheme="minorHAnsi" w:hAnsiTheme="minorHAnsi" w:cstheme="minorHAnsi"/>
                <w:lang w:eastAsia="pl-PL"/>
              </w:rPr>
              <w:t>Artykuły na stronach internetowych (ilość:</w:t>
            </w:r>
            <w:r w:rsidR="00530C8E" w:rsidRPr="00CB19BF">
              <w:rPr>
                <w:rFonts w:asciiTheme="minorHAnsi" w:hAnsiTheme="minorHAnsi" w:cstheme="minorHAnsi"/>
                <w:lang w:eastAsia="pl-PL"/>
              </w:rPr>
              <w:t xml:space="preserve"> </w:t>
            </w:r>
            <w:r w:rsidR="00851100" w:rsidRPr="00CB19BF">
              <w:rPr>
                <w:rFonts w:asciiTheme="minorHAnsi" w:hAnsiTheme="minorHAnsi" w:cstheme="minorHAnsi"/>
                <w:lang w:eastAsia="pl-PL"/>
              </w:rPr>
              <w:t>50</w:t>
            </w:r>
            <w:r w:rsidRPr="00CB19BF">
              <w:rPr>
                <w:rFonts w:asciiTheme="minorHAnsi" w:hAnsiTheme="minorHAnsi" w:cstheme="minorHAnsi"/>
                <w:lang w:eastAsia="pl-PL"/>
              </w:rPr>
              <w:t>)</w:t>
            </w:r>
          </w:p>
          <w:p w:rsidR="001C7A37" w:rsidRPr="00CB19BF" w:rsidRDefault="001C7A37" w:rsidP="002C1CED">
            <w:pPr>
              <w:rPr>
                <w:rFonts w:asciiTheme="minorHAnsi" w:hAnsiTheme="minorHAnsi" w:cstheme="minorHAnsi"/>
                <w:lang w:eastAsia="pl-PL"/>
              </w:rPr>
            </w:pPr>
          </w:p>
          <w:p w:rsidR="001C7A37" w:rsidRPr="00CB19BF" w:rsidRDefault="001C7A37" w:rsidP="002C1CED">
            <w:pPr>
              <w:rPr>
                <w:rFonts w:asciiTheme="minorHAnsi" w:hAnsiTheme="minorHAnsi" w:cstheme="minorHAnsi"/>
                <w:lang w:eastAsia="pl-PL"/>
              </w:rPr>
            </w:pPr>
            <w:r w:rsidRPr="00CB19BF">
              <w:rPr>
                <w:rFonts w:asciiTheme="minorHAnsi" w:hAnsiTheme="minorHAnsi" w:cstheme="minorHAnsi"/>
                <w:lang w:eastAsia="pl-PL"/>
              </w:rPr>
              <w:t xml:space="preserve">Informacja na portalach społecznościowych oraz </w:t>
            </w:r>
            <w:r w:rsidRPr="00CB19BF">
              <w:rPr>
                <w:rFonts w:asciiTheme="minorHAnsi" w:hAnsiTheme="minorHAnsi" w:cstheme="minorHAnsi"/>
                <w:lang w:eastAsia="pl-PL"/>
              </w:rPr>
              <w:lastRenderedPageBreak/>
              <w:t>w mediach o zasięgu lokalnym (ilość:</w:t>
            </w:r>
            <w:r w:rsidR="00851100" w:rsidRPr="00CB19BF">
              <w:rPr>
                <w:rFonts w:asciiTheme="minorHAnsi" w:hAnsiTheme="minorHAnsi" w:cstheme="minorHAnsi"/>
                <w:lang w:eastAsia="pl-PL"/>
              </w:rPr>
              <w:t xml:space="preserve"> 60</w:t>
            </w:r>
            <w:r w:rsidRPr="00CB19BF">
              <w:rPr>
                <w:rFonts w:asciiTheme="minorHAnsi" w:hAnsiTheme="minorHAnsi" w:cstheme="minorHAnsi"/>
                <w:lang w:eastAsia="pl-PL"/>
              </w:rPr>
              <w:t>)</w:t>
            </w:r>
          </w:p>
          <w:p w:rsidR="001C7A37" w:rsidRPr="00CB19BF" w:rsidRDefault="001C7A37" w:rsidP="002C1CED">
            <w:pPr>
              <w:rPr>
                <w:rFonts w:asciiTheme="minorHAnsi" w:hAnsiTheme="minorHAnsi" w:cstheme="minorHAnsi"/>
              </w:rPr>
            </w:pPr>
          </w:p>
          <w:p w:rsidR="001C7A37" w:rsidRPr="00CB19BF" w:rsidRDefault="001C7A37" w:rsidP="002C1CED">
            <w:pPr>
              <w:rPr>
                <w:rFonts w:asciiTheme="minorHAnsi" w:eastAsia="Calibri" w:hAnsiTheme="minorHAnsi" w:cstheme="minorHAnsi"/>
                <w:u w:val="single"/>
                <w:lang w:eastAsia="pl-PL"/>
              </w:rPr>
            </w:pPr>
            <w:r w:rsidRPr="00CB19BF">
              <w:rPr>
                <w:rFonts w:asciiTheme="minorHAnsi" w:eastAsia="Calibri" w:hAnsiTheme="minorHAnsi" w:cstheme="minorHAnsi"/>
                <w:u w:val="single"/>
                <w:lang w:eastAsia="pl-PL"/>
              </w:rPr>
              <w:t xml:space="preserve">Efekt: </w:t>
            </w:r>
          </w:p>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Poinformowanie potencjalnych wnioskodawców o efektach realizacji LSR w całym okresie</w:t>
            </w:r>
          </w:p>
        </w:tc>
        <w:tc>
          <w:tcPr>
            <w:tcW w:w="1276" w:type="dxa"/>
            <w:shd w:val="clear" w:color="auto" w:fill="F2F2F2" w:themeFill="background1" w:themeFillShade="F2"/>
          </w:tcPr>
          <w:p w:rsidR="001C7A37" w:rsidRPr="00CB19BF" w:rsidRDefault="009C422D" w:rsidP="002C1CED">
            <w:pPr>
              <w:jc w:val="center"/>
              <w:rPr>
                <w:rFonts w:asciiTheme="minorHAnsi" w:eastAsia="Calibri" w:hAnsiTheme="minorHAnsi" w:cstheme="minorHAnsi"/>
                <w:lang w:eastAsia="pl-PL"/>
              </w:rPr>
            </w:pPr>
            <w:r w:rsidRPr="00CB19BF">
              <w:rPr>
                <w:rFonts w:asciiTheme="minorHAnsi" w:eastAsia="Calibri" w:hAnsiTheme="minorHAnsi" w:cstheme="minorHAnsi"/>
                <w:lang w:eastAsia="pl-PL"/>
              </w:rPr>
              <w:lastRenderedPageBreak/>
              <w:t>0,00 zł</w:t>
            </w:r>
          </w:p>
          <w:p w:rsidR="009C422D" w:rsidRPr="00CB19BF" w:rsidRDefault="009C422D" w:rsidP="002C1CED">
            <w:pPr>
              <w:jc w:val="center"/>
              <w:rPr>
                <w:rFonts w:asciiTheme="minorHAnsi" w:eastAsia="Calibri" w:hAnsiTheme="minorHAnsi" w:cstheme="minorHAnsi"/>
                <w:lang w:eastAsia="pl-PL"/>
              </w:rPr>
            </w:pPr>
          </w:p>
          <w:p w:rsidR="009C422D" w:rsidRPr="00CB19BF" w:rsidRDefault="009C422D" w:rsidP="002C1CED">
            <w:pPr>
              <w:jc w:val="center"/>
              <w:rPr>
                <w:rFonts w:asciiTheme="minorHAnsi" w:eastAsia="Calibri" w:hAnsiTheme="minorHAnsi" w:cstheme="minorHAnsi"/>
                <w:lang w:eastAsia="pl-PL"/>
              </w:rPr>
            </w:pPr>
          </w:p>
          <w:p w:rsidR="009C422D" w:rsidRPr="00CB19BF" w:rsidRDefault="009C422D" w:rsidP="002C1CED">
            <w:pPr>
              <w:jc w:val="center"/>
              <w:rPr>
                <w:rFonts w:asciiTheme="minorHAnsi" w:eastAsia="Calibri" w:hAnsiTheme="minorHAnsi" w:cstheme="minorHAnsi"/>
                <w:lang w:eastAsia="pl-PL"/>
              </w:rPr>
            </w:pPr>
          </w:p>
          <w:p w:rsidR="009C422D" w:rsidRPr="00CB19BF" w:rsidRDefault="009C422D" w:rsidP="002C1CED">
            <w:pPr>
              <w:jc w:val="center"/>
              <w:rPr>
                <w:rFonts w:asciiTheme="minorHAnsi" w:eastAsia="Calibri" w:hAnsiTheme="minorHAnsi" w:cstheme="minorHAnsi"/>
                <w:lang w:eastAsia="pl-PL"/>
              </w:rPr>
            </w:pPr>
          </w:p>
          <w:p w:rsidR="009C422D" w:rsidRPr="00CB19BF" w:rsidRDefault="009C422D" w:rsidP="002C1CED">
            <w:pPr>
              <w:jc w:val="center"/>
              <w:rPr>
                <w:rFonts w:asciiTheme="minorHAnsi" w:eastAsia="Calibri" w:hAnsiTheme="minorHAnsi" w:cstheme="minorHAnsi"/>
                <w:lang w:eastAsia="pl-PL"/>
              </w:rPr>
            </w:pPr>
            <w:r w:rsidRPr="00CB19BF">
              <w:rPr>
                <w:rFonts w:asciiTheme="minorHAnsi" w:eastAsia="Calibri" w:hAnsiTheme="minorHAnsi" w:cstheme="minorHAnsi"/>
                <w:lang w:eastAsia="pl-PL"/>
              </w:rPr>
              <w:t>6000,00 zł</w:t>
            </w:r>
          </w:p>
        </w:tc>
        <w:tc>
          <w:tcPr>
            <w:tcW w:w="2126" w:type="dxa"/>
            <w:shd w:val="clear" w:color="auto" w:fill="F2F2F2" w:themeFill="background1" w:themeFillShade="F2"/>
          </w:tcPr>
          <w:p w:rsidR="001C7A37" w:rsidRPr="00CB19BF" w:rsidRDefault="001C7A37" w:rsidP="002C1CED">
            <w:pPr>
              <w:rPr>
                <w:rFonts w:asciiTheme="minorHAnsi" w:eastAsia="Calibri" w:hAnsiTheme="minorHAnsi" w:cstheme="minorHAnsi"/>
                <w:lang w:eastAsia="pl-PL"/>
              </w:rPr>
            </w:pPr>
            <w:r w:rsidRPr="00CB19BF">
              <w:rPr>
                <w:rFonts w:asciiTheme="minorHAnsi" w:eastAsia="Calibri" w:hAnsiTheme="minorHAnsi" w:cstheme="minorHAnsi"/>
                <w:lang w:eastAsia="pl-PL"/>
              </w:rPr>
              <w:t>Monitoring oglądalności strony i lokalnych mediów</w:t>
            </w:r>
          </w:p>
        </w:tc>
      </w:tr>
    </w:tbl>
    <w:p w:rsidR="00670E70" w:rsidRPr="00CB19BF" w:rsidRDefault="00670E70" w:rsidP="00632310">
      <w:pPr>
        <w:spacing w:after="0" w:line="276" w:lineRule="auto"/>
        <w:jc w:val="both"/>
        <w:rPr>
          <w:rFonts w:cstheme="minorHAnsi"/>
        </w:rPr>
      </w:pPr>
    </w:p>
    <w:p w:rsidR="0040205C" w:rsidRPr="00CB19BF" w:rsidRDefault="0040205C" w:rsidP="00632310">
      <w:pPr>
        <w:spacing w:after="0" w:line="276" w:lineRule="auto"/>
        <w:jc w:val="both"/>
      </w:pPr>
    </w:p>
    <w:p w:rsidR="00670E70" w:rsidRPr="00CB19BF" w:rsidRDefault="00670E70" w:rsidP="00632310">
      <w:pPr>
        <w:spacing w:after="0" w:line="276" w:lineRule="auto"/>
        <w:jc w:val="both"/>
      </w:pPr>
    </w:p>
    <w:p w:rsidR="00D859CF" w:rsidRPr="00CB19BF" w:rsidRDefault="00D859CF" w:rsidP="00D859CF">
      <w:pPr>
        <w:spacing w:after="0" w:line="276" w:lineRule="auto"/>
        <w:jc w:val="both"/>
      </w:pPr>
    </w:p>
    <w:sectPr w:rsidR="00D859CF" w:rsidRPr="00CB19BF" w:rsidSect="009C422D">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34F"/>
    <w:multiLevelType w:val="hybridMultilevel"/>
    <w:tmpl w:val="81169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B07648"/>
    <w:multiLevelType w:val="hybridMultilevel"/>
    <w:tmpl w:val="E3364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4A148A"/>
    <w:multiLevelType w:val="hybridMultilevel"/>
    <w:tmpl w:val="572A4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A4A1FA0"/>
    <w:multiLevelType w:val="hybridMultilevel"/>
    <w:tmpl w:val="E4869B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1F76047"/>
    <w:multiLevelType w:val="hybridMultilevel"/>
    <w:tmpl w:val="9F562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11693404">
    <w:abstractNumId w:val="3"/>
  </w:num>
  <w:num w:numId="2" w16cid:durableId="373503679">
    <w:abstractNumId w:val="1"/>
  </w:num>
  <w:num w:numId="3" w16cid:durableId="1214660768">
    <w:abstractNumId w:val="0"/>
  </w:num>
  <w:num w:numId="4" w16cid:durableId="620382838">
    <w:abstractNumId w:val="2"/>
  </w:num>
  <w:num w:numId="5" w16cid:durableId="946349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DC"/>
    <w:rsid w:val="00062DF2"/>
    <w:rsid w:val="000B60A6"/>
    <w:rsid w:val="00114ADC"/>
    <w:rsid w:val="00144FC4"/>
    <w:rsid w:val="001C7A37"/>
    <w:rsid w:val="001E6C30"/>
    <w:rsid w:val="002A79A8"/>
    <w:rsid w:val="002C1CED"/>
    <w:rsid w:val="002F74E8"/>
    <w:rsid w:val="00351116"/>
    <w:rsid w:val="00364067"/>
    <w:rsid w:val="003A6ECE"/>
    <w:rsid w:val="003C752F"/>
    <w:rsid w:val="0040205C"/>
    <w:rsid w:val="00505A46"/>
    <w:rsid w:val="00530C8E"/>
    <w:rsid w:val="00584532"/>
    <w:rsid w:val="00632310"/>
    <w:rsid w:val="00661E4A"/>
    <w:rsid w:val="00670E70"/>
    <w:rsid w:val="006A7CAE"/>
    <w:rsid w:val="006F5E64"/>
    <w:rsid w:val="00851100"/>
    <w:rsid w:val="009A3D66"/>
    <w:rsid w:val="009C422D"/>
    <w:rsid w:val="00C53E7D"/>
    <w:rsid w:val="00C970B9"/>
    <w:rsid w:val="00CA2D44"/>
    <w:rsid w:val="00CB19BF"/>
    <w:rsid w:val="00D13589"/>
    <w:rsid w:val="00D30714"/>
    <w:rsid w:val="00D566C4"/>
    <w:rsid w:val="00D859CF"/>
    <w:rsid w:val="00D91A72"/>
    <w:rsid w:val="00DB198C"/>
    <w:rsid w:val="00F93D69"/>
    <w:rsid w:val="00FE7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8DF6B-94DF-49FE-A394-4084F6B9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4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4ADC"/>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F93D69"/>
    <w:pPr>
      <w:ind w:left="720"/>
      <w:contextualSpacing/>
    </w:pPr>
  </w:style>
  <w:style w:type="table" w:styleId="Tabela-Siatka">
    <w:name w:val="Table Grid"/>
    <w:basedOn w:val="Standardowy"/>
    <w:uiPriority w:val="39"/>
    <w:rsid w:val="0067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1CED"/>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2477</Words>
  <Characters>14862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biuro@kaszubskadroga.pl</dc:creator>
  <cp:keywords/>
  <dc:description/>
  <cp:lastModifiedBy>biuro@kaszubskadroga.pl</cp:lastModifiedBy>
  <cp:revision>2</cp:revision>
  <dcterms:created xsi:type="dcterms:W3CDTF">2023-05-10T07:49:00Z</dcterms:created>
  <dcterms:modified xsi:type="dcterms:W3CDTF">2023-05-10T07:49:00Z</dcterms:modified>
</cp:coreProperties>
</file>