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11468D9F" w:rsidR="00DA30D5" w:rsidRDefault="001233A0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2B87A791" wp14:editId="457C8F5E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047115" cy="356235"/>
            <wp:effectExtent l="0" t="0" r="635" b="5715"/>
            <wp:wrapNone/>
            <wp:docPr id="695595254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95254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30D5"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wsparcie</w:t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5CECC0B6" w14:textId="62B74F1C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B50B0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77777777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75509D26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511632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dla Działania 6.12., 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2DD6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</w:t>
            </w:r>
            <w:commentRangeStart w:id="2"/>
            <w:r w:rsidRPr="00022E0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LGD</w:t>
            </w:r>
            <w:commentRangeEnd w:id="2"/>
            <w:r w:rsidR="005D3687" w:rsidRPr="006C38DB">
              <w:rPr>
                <w:rStyle w:val="Odwoaniedokomentarza"/>
                <w:rFonts w:ascii="Calibri" w:hAnsi="Calibri" w:cs="Times New Roman"/>
                <w:b/>
                <w:sz w:val="22"/>
                <w:szCs w:val="22"/>
              </w:rPr>
              <w:commentReference w:id="2"/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wnioskodawca/ partner (partnerzy) finansowo zaangażowany w realizację projektu (jeśli występuje/ występują) wpisuje się w szczegółowe typy beneficjentów określone dla Działania 6.12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3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C62D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2DD6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2DD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6C38DB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5E2C3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01F60E56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C62DD6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5E2C3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273A634E" w14:textId="1DBFF646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6.12 Infrastruktura turysty</w:t>
            </w:r>
            <w:r w:rsidR="00DB50B0">
              <w:rPr>
                <w:rFonts w:ascii="Calibri" w:hAnsi="Calibri" w:cs="Times New Roman"/>
                <w:sz w:val="22"/>
                <w:szCs w:val="22"/>
              </w:rPr>
              <w:t>ki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wybrany przez wnioskodawcę typ projektu został wskazany jako podlegający dofinansowaniu w opisie Działania 6.12.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6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5C572DCB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czy cel i zakres przedmiotowy projektu wpisują się w wyzwania, zakres,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ukierunkowanie oraz rezultaty celu szczegółowego 4 (vi) i Działania 6.12? </w:t>
            </w:r>
          </w:p>
          <w:p w14:paraId="59680843" w14:textId="1CA055F5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6C38DB">
              <w:rPr>
                <w:rFonts w:ascii="Calibri" w:hAnsi="Calibri" w:cs="Times New Roman"/>
                <w:sz w:val="22"/>
                <w:szCs w:val="22"/>
              </w:rPr>
              <w:t>SZOP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7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6C38DB" w:rsidRDefault="006C38DB" w:rsidP="006C38DB">
            <w:pPr>
              <w:spacing w:line="276" w:lineRule="auto"/>
              <w:ind w:left="453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2DD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5E2C3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09552544" w14:textId="0E26FF66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(vi) w FEP 2021-2027 oraz w opisie Działania 6.12. w SZOP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228355A1" w14:textId="77777777" w:rsidR="006C38DB" w:rsidRPr="006C38DB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założenia i zakres przedmiotowy projektu uwzględnia wyniki, zawartej w strategii RLKS dla danego obszaru, analizy popytu i ocenę potrzeb, a także wpływu na stymulowanie aktywności turystycznej? </w:t>
            </w:r>
          </w:p>
          <w:p w14:paraId="2378D69C" w14:textId="10CB40D7" w:rsidR="006C38DB" w:rsidRPr="006C38DB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założenia i zakres przedmiotowy projektu uwzględnia, wynikający ze strategii RLKS </w:t>
            </w:r>
            <w:r w:rsidRPr="00655624">
              <w:rPr>
                <w:rFonts w:ascii="Calibri" w:hAnsi="Calibri" w:cs="Times New Roman"/>
                <w:sz w:val="22"/>
                <w:szCs w:val="22"/>
              </w:rPr>
              <w:t>dla danego obszaru, sposób integracji produktów i usług turystycznych, wypracowanych w wyniku współpracy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różnych sektorów?</w:t>
            </w:r>
          </w:p>
          <w:p w14:paraId="6DCDDF55" w14:textId="77777777" w:rsidR="006C38DB" w:rsidRPr="006C38DB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przyczyni się do zwiększenia natężenia ruchu samochodowego?</w:t>
            </w:r>
          </w:p>
          <w:p w14:paraId="0DFDB6B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5957679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2DD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5E2C3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299ED5A6" w14:textId="4EF1A8DC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4 (vi) w FEP 2021-2027 i opisie Działania 6.12. w SZOP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D770351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9C7153D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oraz zastosowane rozwiązania techniczne/technologiczne spełniają wymagania określone dla Działania 6.12., tj.:</w:t>
            </w:r>
          </w:p>
          <w:p w14:paraId="1586A4B2" w14:textId="0E4A930A" w:rsidR="006C38DB" w:rsidRPr="006C38DB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projekt nie przewiduje budowy nowych dróg lub parkingów nie będących miejscami obsługi kamperów albo niezbędnymi miejscami postojowymi użytkowanymi tylko przez osoby z niepełnosprawnościami albo wjazdami w obrębie kąpieliska dla osób z niepełnosprawnościami (w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przypadku,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gdy projekt dotyczy rozwoju infrastruktury bezpiecznych kąpielisk)? </w:t>
            </w:r>
          </w:p>
          <w:p w14:paraId="7DD1D390" w14:textId="77777777" w:rsidR="006C38DB" w:rsidRPr="006C38DB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dotyczy rozwoju infrastruktury bezpiecznych kąpielisk:</w:t>
            </w:r>
          </w:p>
          <w:p w14:paraId="75AE2602" w14:textId="77777777" w:rsidR="006C38DB" w:rsidRPr="006C38DB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powstała w wyniku realizacji projektu infrastruktura odpowiadać będzie standardom określonym w dokumencie pt. „Pomorskie Kąpieliska. Standardy infrastruktury kąpieliskowej, przyjętym uchwałą Zarządu Województwa Pomorskiego nr 615/550/24 z dnia 23 maja 2024 roku? </w:t>
            </w:r>
          </w:p>
          <w:p w14:paraId="34F50DBE" w14:textId="77777777" w:rsidR="006C38DB" w:rsidRPr="006C38DB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realizowany będzie w granicach od wyznaczonego wejścia do wydzielonego i oznakowanego fragmentu wód, obejmującego całą infrastrukturę niezbędną do jego funkcjonowania i zapewnienia bezpieczeństwa kąpiących się osób?</w:t>
            </w:r>
          </w:p>
          <w:p w14:paraId="381D04F8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4C547ADB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5FF9F873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13BD4C44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w przypadku infrastruktury o przewidywalnej trwałości wynoszącej co najmniej 5 lat: czy wspierana w ramach projektu infrastruktura jest odporna na zmiany klimatu?</w:t>
            </w:r>
          </w:p>
          <w:p w14:paraId="6023832D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D6C313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  <w:p w14:paraId="4AA8B29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3CB46D7" w14:textId="7D3FAF0E" w:rsidR="00F52561" w:rsidRDefault="00242F14" w:rsidP="00F52561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6C38DB" w:rsidRDefault="00F52561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91CF808" w14:textId="77777777" w:rsidTr="005E2C3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6.12. udostępnionym wnioskodawcy?</w:t>
            </w:r>
          </w:p>
          <w:p w14:paraId="5BCF337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47C8A52" w14:textId="77777777" w:rsidTr="005E2C3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28CBB556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0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2DD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5C5441E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69CF4B" w14:textId="77777777" w:rsidTr="005E2C3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1"/>
            </w:r>
          </w:p>
          <w:p w14:paraId="495FF023" w14:textId="6A584FA0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5E2C3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C56F6B4" w14:textId="77777777" w:rsidTr="005E2C37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5B29F22D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6.</w:t>
            </w:r>
            <w:r w:rsidR="00E53F9E">
              <w:rPr>
                <w:rFonts w:ascii="Calibri" w:hAnsi="Calibri" w:cs="Times New Roman"/>
                <w:sz w:val="22"/>
                <w:szCs w:val="22"/>
              </w:rPr>
              <w:t>12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w przypadku projektu objętego pomocą publiczną lub pomocą de minimis: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6C38DB" w14:paraId="32E7A79B" w14:textId="77777777" w:rsidTr="005E2C3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C62DD6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C62DD6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19D8B6FC" w14:textId="77777777" w:rsidR="006C38DB" w:rsidRPr="00C62D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2DD6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C62DD6">
              <w:rPr>
                <w:rFonts w:cstheme="minorHAnsi"/>
                <w:b/>
                <w:sz w:val="22"/>
              </w:rPr>
              <w:lastRenderedPageBreak/>
              <w:t>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0F1BA72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</w:t>
            </w:r>
          </w:p>
        </w:tc>
      </w:tr>
      <w:tr w:rsidR="006C38DB" w:rsidRPr="006C38DB" w14:paraId="2F3FC1AF" w14:textId="77777777" w:rsidTr="005E2C37">
        <w:tc>
          <w:tcPr>
            <w:tcW w:w="567" w:type="dxa"/>
          </w:tcPr>
          <w:p w14:paraId="7C15C07E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6986A42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Analiza finansowa – ekonomiczna </w:t>
            </w:r>
          </w:p>
        </w:tc>
        <w:tc>
          <w:tcPr>
            <w:tcW w:w="7229" w:type="dxa"/>
          </w:tcPr>
          <w:p w14:paraId="6D5421BD" w14:textId="5CE9675D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poprawność sporządzenia analizy finansowej projektu,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tj.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</w:p>
          <w:p w14:paraId="4F9F4AFE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kalkulacja przychodów (o ile występują) i kosztów (w tym nakładów inwestycyjnych i odtworzeniowych) została przygotowana poprawnie?</w:t>
            </w:r>
          </w:p>
          <w:p w14:paraId="2D0CCB84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wskazane źródła finansowania majątku utworzonego w ramach projektu zapewniają płynność finansową wnioskodawcy albo operatora (w przypadku, gdy wnioskodawca planuje przekazanie zarządzania lub własności powstałego majątku odrębnemu podmiotowi – operatorowi)? </w:t>
            </w:r>
          </w:p>
          <w:p w14:paraId="5EE8473D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wymienione zostały istotne środowiskowe, gospodarcze oraz społeczne korzyści i koszty ekonomiczne?</w:t>
            </w:r>
          </w:p>
          <w:p w14:paraId="1001E985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koszty i korzyści zostały zaprezentowane w kategoriach ilościowych (o ile to możliwe)?     </w:t>
            </w:r>
          </w:p>
          <w:p w14:paraId="34685E8C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22FFE26C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1984" w:type="dxa"/>
          </w:tcPr>
          <w:p w14:paraId="4D9E209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5585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59FC776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57D6C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7AFD3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3BF62014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4" w:name="_Toc123117850"/>
      <w:bookmarkStart w:id="5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lastRenderedPageBreak/>
        <w:t xml:space="preserve">2. Horyzontalne warunki udzielenia wsparcia </w:t>
      </w:r>
      <w:bookmarkEnd w:id="4"/>
      <w:bookmarkEnd w:id="5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6C38DB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6141E9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3224432C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021A11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4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zapewnienia równości, włączenia społecznego i niedyskryminacji dla celu szczegółowego 4 (vi) 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C62DD6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6141E9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6" w:name="_Hlk128569119"/>
          </w:p>
        </w:tc>
        <w:tc>
          <w:tcPr>
            <w:tcW w:w="2410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C62DD6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6141E9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73F5D5D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021A11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C62DD6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C62DD6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6"/>
      <w:tr w:rsidR="006C38DB" w:rsidRPr="006C38DB" w14:paraId="364DE3BB" w14:textId="77777777" w:rsidTr="006141E9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równości, włączenia społecznego i niedyskryminacji dla celu szczegółowego 4 (vi) 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C62DD6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C62DD6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C62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C62DD6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footerReference w:type="even" r:id="rId15"/>
      <w:headerReference w:type="first" r:id="rId16"/>
      <w:footerReference w:type="first" r:id="rId17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Durzyńska Justyna" w:date="2025-01-28T09:07:00Z" w:initials="DJ">
    <w:p w14:paraId="5E721B3C" w14:textId="7CE6E198" w:rsidR="005D3687" w:rsidRDefault="005D3687">
      <w:pPr>
        <w:pStyle w:val="Tekstkomentarza"/>
      </w:pPr>
      <w:r>
        <w:rPr>
          <w:rStyle w:val="Odwoaniedokomentarza"/>
        </w:rPr>
        <w:annotationRef/>
      </w:r>
      <w:r>
        <w:t>W zakresie poszczególnych warunków LGD powinna wskazać możliwość uzupełnienia LUB nie stosownie do zapisów w procedurach. Nie spełnienia warunku udzielenia wsparcia skutkować powinno nie wybraniem projektu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721B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721B3C" w16cid:durableId="2B431C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4001" w14:textId="77777777" w:rsidR="00CF7A0B" w:rsidRDefault="00CF7A0B">
      <w:r>
        <w:separator/>
      </w:r>
    </w:p>
  </w:endnote>
  <w:endnote w:type="continuationSeparator" w:id="0">
    <w:p w14:paraId="34D74F76" w14:textId="77777777" w:rsidR="00CF7A0B" w:rsidRDefault="00CF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6D07DB18" w:rsidR="00B63EAC" w:rsidRPr="00B63EAC" w:rsidRDefault="00E973EF" w:rsidP="00FB3A69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ADCF" w14:textId="77777777" w:rsidR="00CF7A0B" w:rsidRDefault="00CF7A0B">
      <w:r>
        <w:separator/>
      </w:r>
    </w:p>
  </w:footnote>
  <w:footnote w:type="continuationSeparator" w:id="0">
    <w:p w14:paraId="6FA59732" w14:textId="77777777" w:rsidR="00CF7A0B" w:rsidRDefault="00CF7A0B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30A9A72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</w:t>
      </w:r>
      <w:r w:rsidR="00511632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5790A2FA" w14:textId="777E4FD1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Przez wnioskodawcę rozumie się również partnera/ partnerów projektu, jeśli projekt przewiduje udział partnera/ partnerów w rozumieniu art.</w:t>
      </w:r>
      <w:r w:rsidR="00511632">
        <w:t xml:space="preserve"> </w:t>
      </w:r>
      <w:r w:rsidRPr="00021A11">
        <w:t xml:space="preserve">39 Ustawy z dnia 28 kwietnia 2022 r. o zasadach realizacji zadań finansowanych ze środków europejskich w perspektywie finansowej 2021-2027 (Dz.U z 2022 r., poz. 1079).   </w:t>
      </w:r>
    </w:p>
  </w:footnote>
  <w:footnote w:id="6">
    <w:p w14:paraId="6C81A61E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3" w:name="_Hlk190275876"/>
      <w:r>
        <w:t>W wersji obowiązującej w dniu rozpoczęcia naboru wniosków o dofinansowanie.</w:t>
      </w:r>
      <w:bookmarkEnd w:id="3"/>
    </w:p>
  </w:footnote>
  <w:footnote w:id="7">
    <w:p w14:paraId="4E0E61F5" w14:textId="086F9867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8">
    <w:p w14:paraId="0920A587" w14:textId="1F5F6F3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9">
    <w:p w14:paraId="27E7CE00" w14:textId="2A96357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10">
    <w:p w14:paraId="29F86E20" w14:textId="6D55EF7F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Tekst jednolity Dz.U. z 2022 poz. 1029</w:t>
      </w:r>
    </w:p>
  </w:footnote>
  <w:footnote w:id="11">
    <w:p w14:paraId="49985BF8" w14:textId="14E64584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511632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3431CA06" w14:textId="5253CF8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Z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3919950A" w14:textId="1CEEBC89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034511D1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1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88877">
    <w:abstractNumId w:val="13"/>
  </w:num>
  <w:num w:numId="2" w16cid:durableId="1513179381">
    <w:abstractNumId w:val="4"/>
  </w:num>
  <w:num w:numId="3" w16cid:durableId="121727952">
    <w:abstractNumId w:val="9"/>
  </w:num>
  <w:num w:numId="4" w16cid:durableId="247275776">
    <w:abstractNumId w:val="17"/>
  </w:num>
  <w:num w:numId="5" w16cid:durableId="2141411403">
    <w:abstractNumId w:val="5"/>
  </w:num>
  <w:num w:numId="6" w16cid:durableId="291712616">
    <w:abstractNumId w:val="21"/>
  </w:num>
  <w:num w:numId="7" w16cid:durableId="1973825607">
    <w:abstractNumId w:val="16"/>
  </w:num>
  <w:num w:numId="8" w16cid:durableId="454063192">
    <w:abstractNumId w:val="2"/>
  </w:num>
  <w:num w:numId="9" w16cid:durableId="1058632947">
    <w:abstractNumId w:val="19"/>
  </w:num>
  <w:num w:numId="10" w16cid:durableId="1908608377">
    <w:abstractNumId w:val="3"/>
  </w:num>
  <w:num w:numId="11" w16cid:durableId="146753305">
    <w:abstractNumId w:val="11"/>
  </w:num>
  <w:num w:numId="12" w16cid:durableId="1383673748">
    <w:abstractNumId w:val="20"/>
  </w:num>
  <w:num w:numId="13" w16cid:durableId="1295675542">
    <w:abstractNumId w:val="6"/>
  </w:num>
  <w:num w:numId="14" w16cid:durableId="2011635256">
    <w:abstractNumId w:val="7"/>
  </w:num>
  <w:num w:numId="15" w16cid:durableId="1021400271">
    <w:abstractNumId w:val="22"/>
  </w:num>
  <w:num w:numId="16" w16cid:durableId="1334331752">
    <w:abstractNumId w:val="15"/>
  </w:num>
  <w:num w:numId="17" w16cid:durableId="1366908987">
    <w:abstractNumId w:val="0"/>
  </w:num>
  <w:num w:numId="18" w16cid:durableId="336855916">
    <w:abstractNumId w:val="1"/>
  </w:num>
  <w:num w:numId="19" w16cid:durableId="1856188428">
    <w:abstractNumId w:val="10"/>
  </w:num>
  <w:num w:numId="20" w16cid:durableId="2078701884">
    <w:abstractNumId w:val="8"/>
  </w:num>
  <w:num w:numId="21" w16cid:durableId="555704168">
    <w:abstractNumId w:val="14"/>
  </w:num>
  <w:num w:numId="22" w16cid:durableId="1017387252">
    <w:abstractNumId w:val="12"/>
  </w:num>
  <w:num w:numId="23" w16cid:durableId="596600793">
    <w:abstractNumId w:val="18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7D4AC2-02AC-4E3B-ABF1-C114F300C97B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1A11"/>
    <w:rsid w:val="0002234D"/>
    <w:rsid w:val="00022E09"/>
    <w:rsid w:val="00023E74"/>
    <w:rsid w:val="00026D0A"/>
    <w:rsid w:val="00026EFE"/>
    <w:rsid w:val="0003248D"/>
    <w:rsid w:val="000334EB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3A0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003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632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55624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8FF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2DD6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CF7A0B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37ED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1616B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3A69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p.brpo.gov.pl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EF1D4BA-2D45-43B4-8E3A-A0B0B4153C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D4AC2-02AC-4E3B-ABF1-C114F300C97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2884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KASZUBSKA DROGA</cp:lastModifiedBy>
  <cp:revision>15</cp:revision>
  <cp:lastPrinted>2024-10-03T13:07:00Z</cp:lastPrinted>
  <dcterms:created xsi:type="dcterms:W3CDTF">2025-01-30T09:58:00Z</dcterms:created>
  <dcterms:modified xsi:type="dcterms:W3CDTF">2026-02-05T11:16:00Z</dcterms:modified>
</cp:coreProperties>
</file>